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beforeAutospacing="0" w:afterAutospacing="0" w:line="432" w:lineRule="atLeast"/>
        <w:jc w:val="center"/>
        <w:rPr>
          <w:rFonts w:cs="方正小标宋简体" w:asciiTheme="minorEastAsia" w:hAnsiTheme="minorEastAsia"/>
          <w:b/>
          <w:sz w:val="36"/>
          <w:szCs w:val="36"/>
        </w:rPr>
      </w:pPr>
      <w:r>
        <w:rPr>
          <w:rFonts w:hint="eastAsia" w:cs="方正小标宋简体" w:asciiTheme="minorEastAsia" w:hAnsiTheme="minorEastAsia"/>
          <w:b/>
          <w:sz w:val="36"/>
          <w:szCs w:val="36"/>
        </w:rPr>
        <w:t>白山市教育局</w:t>
      </w:r>
      <w:r>
        <w:rPr>
          <w:rFonts w:hint="eastAsia" w:cs="方正小标宋简体" w:asciiTheme="minorEastAsia" w:hAnsiTheme="minorEastAsia"/>
          <w:b/>
          <w:sz w:val="36"/>
          <w:szCs w:val="36"/>
          <w:lang w:eastAsia="zh-CN"/>
        </w:rPr>
        <w:t>2021年</w:t>
      </w:r>
      <w:r>
        <w:rPr>
          <w:rFonts w:hint="eastAsia" w:cs="方正小标宋简体" w:asciiTheme="minorEastAsia" w:hAnsiTheme="minorEastAsia"/>
          <w:b/>
          <w:sz w:val="36"/>
          <w:szCs w:val="36"/>
        </w:rPr>
        <w:t>政府信息公开工作年度报告</w:t>
      </w:r>
    </w:p>
    <w:p>
      <w:pPr>
        <w:pStyle w:val="5"/>
        <w:widowControl/>
        <w:spacing w:beforeAutospacing="0" w:afterAutospacing="0" w:line="520" w:lineRule="exact"/>
        <w:jc w:val="both"/>
        <w:rPr>
          <w:rStyle w:val="9"/>
          <w:rFonts w:ascii="微软雅黑" w:hAnsi="微软雅黑" w:eastAsia="微软雅黑" w:cs="微软雅黑"/>
          <w:spacing w:val="8"/>
          <w:sz w:val="27"/>
          <w:szCs w:val="27"/>
        </w:rPr>
      </w:pPr>
    </w:p>
    <w:p>
      <w:pPr>
        <w:pStyle w:val="5"/>
        <w:widowControl/>
        <w:spacing w:beforeAutospacing="0" w:afterAutospacing="0" w:line="520" w:lineRule="exact"/>
        <w:ind w:firstLine="514" w:firstLineChars="200"/>
        <w:jc w:val="both"/>
        <w:rPr>
          <w:rStyle w:val="9"/>
          <w:rFonts w:ascii="宋体" w:hAnsi="宋体" w:eastAsia="宋体" w:cs="微软雅黑"/>
          <w:spacing w:val="8"/>
        </w:rPr>
      </w:pPr>
      <w:r>
        <w:rPr>
          <w:rStyle w:val="9"/>
          <w:rFonts w:hint="eastAsia" w:ascii="宋体" w:hAnsi="宋体" w:eastAsia="宋体" w:cs="微软雅黑"/>
          <w:spacing w:val="8"/>
        </w:rPr>
        <w:t>一、总体情况</w:t>
      </w:r>
    </w:p>
    <w:p>
      <w:pPr>
        <w:spacing w:line="520" w:lineRule="exact"/>
        <w:ind w:firstLine="480" w:firstLineChars="200"/>
        <w:rPr>
          <w:rFonts w:ascii="宋体" w:hAnsi="宋体" w:eastAsia="宋体"/>
          <w:sz w:val="24"/>
        </w:rPr>
      </w:pPr>
      <w:r>
        <w:rPr>
          <w:rFonts w:hint="eastAsia" w:ascii="宋体" w:hAnsi="宋体" w:eastAsia="宋体"/>
          <w:sz w:val="24"/>
        </w:rPr>
        <w:t>本年度报告根据《中华人民共和国政府信息公开条例》（以下简称《条例》）的要求，制定白山市教育局</w:t>
      </w:r>
      <w:r>
        <w:rPr>
          <w:rFonts w:hint="eastAsia" w:ascii="宋体" w:hAnsi="宋体" w:eastAsia="宋体"/>
          <w:sz w:val="24"/>
          <w:lang w:eastAsia="zh-CN"/>
        </w:rPr>
        <w:t>2021年</w:t>
      </w:r>
      <w:r>
        <w:rPr>
          <w:rFonts w:hint="eastAsia" w:ascii="宋体" w:hAnsi="宋体" w:eastAsia="宋体"/>
          <w:sz w:val="24"/>
        </w:rPr>
        <w:t>政务信息公开工作年度报告。所列数据截止日期为</w:t>
      </w:r>
      <w:r>
        <w:rPr>
          <w:rFonts w:hint="eastAsia" w:ascii="宋体" w:hAnsi="宋体" w:eastAsia="宋体"/>
          <w:sz w:val="24"/>
          <w:lang w:eastAsia="zh-CN"/>
        </w:rPr>
        <w:t>2021年</w:t>
      </w:r>
      <w:r>
        <w:rPr>
          <w:rFonts w:hint="eastAsia" w:ascii="宋体" w:hAnsi="宋体" w:eastAsia="宋体"/>
          <w:sz w:val="24"/>
        </w:rPr>
        <w:t>12月31日，电子版可在白山市人民政府门户网站政府信息公开专栏下载。白山市教育局政务公开办公室联系电话：0439-3220766，传真：0439-3242345。邮编：134300。地址：长白山大街3766号市政府（原国土局大楼）13楼。   </w:t>
      </w:r>
    </w:p>
    <w:p>
      <w:pPr>
        <w:spacing w:line="520" w:lineRule="exact"/>
        <w:rPr>
          <w:rFonts w:ascii="宋体" w:hAnsi="宋体" w:eastAsia="宋体"/>
          <w:sz w:val="24"/>
        </w:rPr>
      </w:pPr>
      <w:r>
        <w:rPr>
          <w:rFonts w:hint="eastAsia" w:ascii="宋体" w:hAnsi="宋体" w:eastAsia="宋体"/>
          <w:sz w:val="24"/>
        </w:rPr>
        <w:t xml:space="preserve">    </w:t>
      </w:r>
      <w:r>
        <w:rPr>
          <w:rFonts w:hint="eastAsia" w:ascii="宋体" w:hAnsi="宋体" w:eastAsia="宋体"/>
          <w:sz w:val="24"/>
          <w:lang w:eastAsia="zh-CN"/>
        </w:rPr>
        <w:t>2021年</w:t>
      </w:r>
      <w:r>
        <w:rPr>
          <w:rFonts w:hint="eastAsia" w:ascii="宋体" w:hAnsi="宋体" w:eastAsia="宋体"/>
          <w:sz w:val="24"/>
        </w:rPr>
        <w:t>，在市委、市政府的正确领导下，我局严格执行《中华人民共和国政府信息公开条例》要求，深入贯彻落实中央、吉林省和我市关于做好信息公开工作的要求和部署，认真开展政府信息公开工作，在不断学习中进一步规范政府信息公开内容，完善政府信息公开形式，突出政府信息公开重点，提高政府信息公开水平，较好地履行了相关职责和任务。现将本年度政府信息公开情况报告如下：</w:t>
      </w:r>
    </w:p>
    <w:p>
      <w:pPr>
        <w:spacing w:line="520" w:lineRule="exact"/>
        <w:ind w:firstLine="482" w:firstLineChars="200"/>
        <w:rPr>
          <w:rFonts w:ascii="宋体" w:hAnsi="宋体" w:eastAsia="宋体"/>
          <w:b/>
          <w:sz w:val="24"/>
        </w:rPr>
      </w:pPr>
      <w:r>
        <w:rPr>
          <w:rFonts w:hint="eastAsia" w:ascii="宋体" w:hAnsi="宋体" w:eastAsia="宋体"/>
          <w:b/>
          <w:sz w:val="24"/>
        </w:rPr>
        <w:t>（一）主动公开信息情况</w:t>
      </w:r>
    </w:p>
    <w:p>
      <w:pPr>
        <w:spacing w:line="520" w:lineRule="exact"/>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截止</w:t>
      </w:r>
      <w:r>
        <w:rPr>
          <w:rFonts w:hint="eastAsia" w:ascii="宋体" w:hAnsi="宋体" w:eastAsia="宋体"/>
          <w:color w:val="000000" w:themeColor="text1"/>
          <w:sz w:val="24"/>
          <w:lang w:eastAsia="zh-CN"/>
          <w14:textFill>
            <w14:solidFill>
              <w14:schemeClr w14:val="tx1"/>
            </w14:solidFill>
          </w14:textFill>
        </w:rPr>
        <w:t>2021年</w:t>
      </w:r>
      <w:r>
        <w:rPr>
          <w:rFonts w:hint="eastAsia" w:ascii="宋体" w:hAnsi="宋体" w:eastAsia="宋体"/>
          <w:color w:val="000000" w:themeColor="text1"/>
          <w:sz w:val="24"/>
          <w14:textFill>
            <w14:solidFill>
              <w14:schemeClr w14:val="tx1"/>
            </w14:solidFill>
          </w14:textFill>
        </w:rPr>
        <w:t>12月31日，全年市教育局政务信息公开总体情况方面，主动公开政府信息总数4</w:t>
      </w:r>
      <w:r>
        <w:rPr>
          <w:rFonts w:hint="eastAsia" w:ascii="宋体" w:hAnsi="宋体" w:eastAsia="宋体"/>
          <w:color w:val="000000" w:themeColor="text1"/>
          <w:sz w:val="24"/>
          <w:lang w:val="en-US" w:eastAsia="zh-CN"/>
          <w14:textFill>
            <w14:solidFill>
              <w14:schemeClr w14:val="tx1"/>
            </w14:solidFill>
          </w14:textFill>
        </w:rPr>
        <w:t>43</w:t>
      </w:r>
      <w:r>
        <w:rPr>
          <w:rFonts w:hint="eastAsia" w:ascii="宋体" w:hAnsi="宋体" w:eastAsia="宋体"/>
          <w:color w:val="000000" w:themeColor="text1"/>
          <w:sz w:val="24"/>
          <w14:textFill>
            <w14:solidFill>
              <w14:schemeClr w14:val="tx1"/>
            </w14:solidFill>
          </w14:textFill>
        </w:rPr>
        <w:t>条。其中：主动公开规范性文件数0条；主动公开制发文件数</w:t>
      </w:r>
      <w:r>
        <w:rPr>
          <w:rFonts w:hint="eastAsia" w:ascii="宋体" w:hAnsi="宋体" w:eastAsia="宋体"/>
          <w:color w:val="000000" w:themeColor="text1"/>
          <w:sz w:val="24"/>
          <w:lang w:val="en-US" w:eastAsia="zh-CN"/>
          <w14:textFill>
            <w14:solidFill>
              <w14:schemeClr w14:val="tx1"/>
            </w14:solidFill>
          </w14:textFill>
        </w:rPr>
        <w:t>52</w:t>
      </w:r>
      <w:r>
        <w:rPr>
          <w:rFonts w:hint="eastAsia" w:ascii="宋体" w:hAnsi="宋体" w:eastAsia="宋体"/>
          <w:color w:val="000000" w:themeColor="text1"/>
          <w:sz w:val="24"/>
          <w14:textFill>
            <w14:solidFill>
              <w14:schemeClr w14:val="tx1"/>
            </w14:solidFill>
          </w14:textFill>
        </w:rPr>
        <w:t>条。人大代表建议和政协提案办理结果公开数为</w:t>
      </w:r>
      <w:r>
        <w:rPr>
          <w:rFonts w:hint="eastAsia" w:ascii="宋体" w:hAnsi="宋体" w:eastAsia="宋体"/>
          <w:color w:val="000000" w:themeColor="text1"/>
          <w:sz w:val="24"/>
          <w:lang w:val="en-US" w:eastAsia="zh-CN"/>
          <w14:textFill>
            <w14:solidFill>
              <w14:schemeClr w14:val="tx1"/>
            </w14:solidFill>
          </w14:textFill>
        </w:rPr>
        <w:t>7</w:t>
      </w:r>
      <w:r>
        <w:rPr>
          <w:rFonts w:hint="eastAsia" w:ascii="宋体" w:hAnsi="宋体" w:eastAsia="宋体"/>
          <w:color w:val="000000" w:themeColor="text1"/>
          <w:sz w:val="24"/>
          <w14:textFill>
            <w14:solidFill>
              <w14:schemeClr w14:val="tx1"/>
            </w14:solidFill>
          </w14:textFill>
        </w:rPr>
        <w:t>条，其中：市人大代表建议</w:t>
      </w:r>
      <w:r>
        <w:rPr>
          <w:rFonts w:hint="eastAsia" w:ascii="宋体" w:hAnsi="宋体" w:eastAsia="宋体"/>
          <w:color w:val="000000" w:themeColor="text1"/>
          <w:sz w:val="24"/>
          <w:lang w:val="en-US" w:eastAsia="zh-CN"/>
          <w14:textFill>
            <w14:solidFill>
              <w14:schemeClr w14:val="tx1"/>
            </w14:solidFill>
          </w14:textFill>
        </w:rPr>
        <w:t>5</w:t>
      </w:r>
      <w:r>
        <w:rPr>
          <w:rFonts w:hint="eastAsia" w:ascii="宋体" w:hAnsi="宋体" w:eastAsia="宋体"/>
          <w:color w:val="000000" w:themeColor="text1"/>
          <w:sz w:val="24"/>
          <w14:textFill>
            <w14:solidFill>
              <w14:schemeClr w14:val="tx1"/>
            </w14:solidFill>
          </w14:textFill>
        </w:rPr>
        <w:t>件，市政协委员提案</w:t>
      </w:r>
      <w:r>
        <w:rPr>
          <w:rFonts w:hint="eastAsia" w:ascii="宋体" w:hAnsi="宋体" w:eastAsia="宋体"/>
          <w:color w:val="000000" w:themeColor="text1"/>
          <w:sz w:val="24"/>
          <w:lang w:val="en-US" w:eastAsia="zh-CN"/>
          <w14:textFill>
            <w14:solidFill>
              <w14:schemeClr w14:val="tx1"/>
            </w14:solidFill>
          </w14:textFill>
        </w:rPr>
        <w:t>2</w:t>
      </w:r>
      <w:r>
        <w:rPr>
          <w:rFonts w:hint="eastAsia" w:ascii="宋体" w:hAnsi="宋体" w:eastAsia="宋体"/>
          <w:color w:val="000000" w:themeColor="text1"/>
          <w:sz w:val="24"/>
          <w14:textFill>
            <w14:solidFill>
              <w14:schemeClr w14:val="tx1"/>
            </w14:solidFill>
          </w14:textFill>
        </w:rPr>
        <w:t>件；白山市教育局网站公开政府信息数为</w:t>
      </w:r>
      <w:r>
        <w:rPr>
          <w:rFonts w:hint="eastAsia" w:ascii="宋体" w:hAnsi="宋体" w:eastAsia="宋体"/>
          <w:color w:val="000000" w:themeColor="text1"/>
          <w:sz w:val="24"/>
          <w:lang w:val="en-US" w:eastAsia="zh-CN"/>
          <w14:textFill>
            <w14:solidFill>
              <w14:schemeClr w14:val="tx1"/>
            </w14:solidFill>
          </w14:textFill>
        </w:rPr>
        <w:t>239</w:t>
      </w:r>
      <w:r>
        <w:rPr>
          <w:rFonts w:hint="eastAsia" w:ascii="宋体" w:hAnsi="宋体" w:eastAsia="宋体"/>
          <w:color w:val="000000" w:themeColor="text1"/>
          <w:sz w:val="24"/>
          <w14:textFill>
            <w14:solidFill>
              <w14:schemeClr w14:val="tx1"/>
            </w14:solidFill>
          </w14:textFill>
        </w:rPr>
        <w:t>条。</w:t>
      </w:r>
    </w:p>
    <w:p>
      <w:pPr>
        <w:spacing w:line="520" w:lineRule="exact"/>
        <w:ind w:firstLine="482" w:firstLineChars="200"/>
        <w:rPr>
          <w:rFonts w:ascii="宋体" w:hAnsi="宋体" w:eastAsia="宋体"/>
          <w:b/>
          <w:sz w:val="24"/>
        </w:rPr>
      </w:pPr>
      <w:r>
        <w:rPr>
          <w:rFonts w:hint="eastAsia" w:ascii="宋体" w:hAnsi="宋体" w:eastAsia="宋体"/>
          <w:b/>
          <w:sz w:val="24"/>
        </w:rPr>
        <w:t>（二）公开解读回应工作</w:t>
      </w:r>
    </w:p>
    <w:p>
      <w:pPr>
        <w:spacing w:line="520" w:lineRule="exact"/>
        <w:ind w:firstLine="480" w:firstLineChars="200"/>
        <w:rPr>
          <w:rFonts w:ascii="宋体" w:hAnsi="宋体" w:eastAsia="宋体"/>
          <w:sz w:val="24"/>
        </w:rPr>
      </w:pPr>
      <w:r>
        <w:rPr>
          <w:rFonts w:hint="eastAsia" w:ascii="宋体" w:hAnsi="宋体" w:eastAsia="宋体"/>
          <w:sz w:val="24"/>
        </w:rPr>
        <w:t>一是完成政策措施的解读工作。将政策解读与政策制定工作同步考虑、同步安排。对涉及面广、社会关注度高、实施难度大、专业性强的政策法规，要及时主动公开，切实保障人民群众的知情权。充分利用各类公众平台做好政策解读工作。通过市教育局门户网站做好同步解读工作，今年高考前夕，市教育局局长韩玉春同志做客新闻直播间接受在线访谈一次。通过政府网站在线访谈等方式，把政策解读清楚，避免误读误解。完成了人大代表建议和政协委员提案答复结果公开工作。对涉及公共利益、社会广泛关注的提案，重视公开的实效性，让群众第一时间了解答复情况，努力做到答复全文，并接受群众监督。</w:t>
      </w:r>
    </w:p>
    <w:p>
      <w:pPr>
        <w:spacing w:line="520" w:lineRule="exact"/>
        <w:rPr>
          <w:rFonts w:ascii="宋体" w:hAnsi="宋体" w:eastAsia="宋体"/>
          <w:sz w:val="24"/>
        </w:rPr>
      </w:pPr>
      <w:r>
        <w:rPr>
          <w:rFonts w:hint="eastAsia" w:ascii="宋体" w:hAnsi="宋体" w:eastAsia="宋体"/>
          <w:sz w:val="24"/>
        </w:rPr>
        <w:t>二是强化了政务舆情回应工作。处理好各类信访、投诉回复，建立健全舆情收集、研判、处置和回应机制。在发生重大突发事件、遇有重要社会关切时，主要负责人当好“第一新闻发言人”，表明立场，发出权威声音，同时做到 6 小时内进行首次信息发布，24 小时内举行新闻发布会。</w:t>
      </w:r>
      <w:r>
        <w:rPr>
          <w:rFonts w:hint="eastAsia" w:ascii="宋体" w:hAnsi="宋体" w:eastAsia="宋体"/>
          <w:color w:val="000000" w:themeColor="text1"/>
          <w:sz w:val="24"/>
        </w:rPr>
        <w:t>今年各类信访回复共</w:t>
      </w:r>
      <w:r>
        <w:rPr>
          <w:rFonts w:hint="eastAsia" w:ascii="宋体" w:hAnsi="宋体" w:eastAsia="宋体"/>
          <w:color w:val="000000" w:themeColor="text1"/>
          <w:sz w:val="24"/>
          <w:lang w:val="en-US" w:eastAsia="zh-CN"/>
        </w:rPr>
        <w:t>17</w:t>
      </w:r>
      <w:r>
        <w:rPr>
          <w:rFonts w:hint="eastAsia" w:ascii="宋体" w:hAnsi="宋体" w:eastAsia="宋体"/>
          <w:color w:val="000000" w:themeColor="text1"/>
          <w:sz w:val="24"/>
        </w:rPr>
        <w:t>件，已办结</w:t>
      </w:r>
      <w:r>
        <w:rPr>
          <w:rFonts w:hint="eastAsia" w:ascii="宋体" w:hAnsi="宋体" w:eastAsia="宋体"/>
          <w:color w:val="000000" w:themeColor="text1"/>
          <w:sz w:val="24"/>
          <w:lang w:val="en-US" w:eastAsia="zh-CN"/>
        </w:rPr>
        <w:t>17</w:t>
      </w:r>
      <w:r>
        <w:rPr>
          <w:rFonts w:hint="eastAsia" w:ascii="宋体" w:hAnsi="宋体" w:eastAsia="宋体"/>
          <w:color w:val="000000" w:themeColor="text1"/>
          <w:sz w:val="24"/>
        </w:rPr>
        <w:t>件。</w:t>
      </w:r>
    </w:p>
    <w:p>
      <w:pPr>
        <w:spacing w:line="520" w:lineRule="exact"/>
        <w:ind w:firstLine="482" w:firstLineChars="200"/>
        <w:rPr>
          <w:rFonts w:ascii="宋体" w:hAnsi="宋体" w:eastAsia="宋体"/>
          <w:b/>
          <w:sz w:val="24"/>
        </w:rPr>
      </w:pPr>
      <w:r>
        <w:rPr>
          <w:rFonts w:hint="eastAsia" w:ascii="宋体" w:hAnsi="宋体" w:eastAsia="宋体"/>
          <w:b/>
          <w:sz w:val="24"/>
        </w:rPr>
        <w:t>（三）深化教育重点领域信息公开</w:t>
      </w:r>
    </w:p>
    <w:p>
      <w:pPr>
        <w:spacing w:line="520" w:lineRule="exact"/>
        <w:ind w:firstLine="482" w:firstLineChars="200"/>
        <w:rPr>
          <w:rFonts w:ascii="宋体" w:hAnsi="宋体" w:eastAsia="宋体"/>
          <w:sz w:val="24"/>
        </w:rPr>
      </w:pPr>
      <w:r>
        <w:rPr>
          <w:rFonts w:hint="eastAsia" w:ascii="宋体" w:hAnsi="宋体" w:eastAsia="宋体"/>
          <w:b/>
          <w:sz w:val="24"/>
        </w:rPr>
        <w:t>一是以重点领域公开为抓手，加大主动公开的工作力度。</w:t>
      </w:r>
      <w:r>
        <w:rPr>
          <w:rFonts w:hint="eastAsia" w:ascii="宋体" w:hAnsi="宋体" w:eastAsia="宋体"/>
          <w:sz w:val="24"/>
        </w:rPr>
        <w:t>公开了面向高校毕业生就业困难人员就业专项活动和高职院校考试招生信息、奖助学金政策、教育资助等信息。公开了推进义务教育招生入学政策及学区划片公开，通过多种形式及时公开义务教育招生方案、招生范围、招生程序、报名条件、学校情况、录取结果、咨询方式等信息。公开了教育督导、重点贫困县教师补助等重点民生领域信息。二是提高教育行业信息公开工作。完善了教育政府信息公开指南、公开制度、公开报告、组织机构、教育类政策法规、教育规划计划等公开工作。</w:t>
      </w:r>
    </w:p>
    <w:p>
      <w:pPr>
        <w:spacing w:line="520" w:lineRule="exact"/>
        <w:ind w:firstLine="482" w:firstLineChars="200"/>
        <w:rPr>
          <w:rFonts w:ascii="宋体" w:hAnsi="宋体" w:eastAsia="宋体"/>
          <w:b/>
          <w:sz w:val="24"/>
        </w:rPr>
      </w:pPr>
      <w:r>
        <w:rPr>
          <w:rFonts w:hint="eastAsia" w:ascii="宋体" w:hAnsi="宋体" w:eastAsia="宋体"/>
          <w:b/>
          <w:sz w:val="24"/>
        </w:rPr>
        <w:t>（四）推进公开平台建设成效显著</w:t>
      </w:r>
    </w:p>
    <w:p>
      <w:pPr>
        <w:spacing w:line="520" w:lineRule="exact"/>
        <w:ind w:firstLine="482" w:firstLineChars="200"/>
        <w:rPr>
          <w:rFonts w:ascii="宋体" w:hAnsi="宋体" w:eastAsia="宋体"/>
          <w:sz w:val="24"/>
        </w:rPr>
      </w:pPr>
      <w:r>
        <w:rPr>
          <w:rFonts w:hint="eastAsia" w:ascii="宋体" w:hAnsi="宋体" w:eastAsia="宋体"/>
          <w:b/>
          <w:sz w:val="24"/>
        </w:rPr>
        <w:t>一是强化网上服务公开。</w:t>
      </w:r>
      <w:r>
        <w:rPr>
          <w:rFonts w:hint="eastAsia" w:ascii="宋体" w:hAnsi="宋体" w:eastAsia="宋体"/>
          <w:sz w:val="24"/>
        </w:rPr>
        <w:t>完善了政务公开指南和信息公开目录，做好相关工作制度和制发性政策文件公开工作。对规范性文件公开进行了严格的审查，定期对不公开的制发文件进行评审。严格执行保密审查制度，对拟公开的政府信息依法依规做好保密审查。</w:t>
      </w:r>
      <w:r>
        <w:rPr>
          <w:rFonts w:hint="eastAsia" w:ascii="宋体" w:hAnsi="宋体" w:eastAsia="宋体"/>
          <w:sz w:val="24"/>
          <w:lang w:val="en-US" w:eastAsia="zh-CN"/>
        </w:rPr>
        <w:t xml:space="preserve">    </w:t>
      </w:r>
      <w:r>
        <w:rPr>
          <w:rFonts w:hint="eastAsia" w:ascii="宋体" w:hAnsi="宋体" w:eastAsia="宋体"/>
          <w:b/>
          <w:sz w:val="24"/>
        </w:rPr>
        <w:t>二是优化教育局门户网站。</w:t>
      </w:r>
      <w:r>
        <w:rPr>
          <w:rFonts w:hint="eastAsia" w:ascii="宋体" w:hAnsi="宋体" w:eastAsia="宋体"/>
          <w:sz w:val="24"/>
        </w:rPr>
        <w:t>通过简化专栏和办事窗口、留言板及时回复、及时发布政策性文件解读等，提高群众的办事效率。发挥市教育局门户网站信息公开第一平台作用，增强了发布信息、解读政策、回应关切、引导舆论的功能，增进与公众的互动交流。</w:t>
      </w:r>
    </w:p>
    <w:p>
      <w:pPr>
        <w:spacing w:line="520" w:lineRule="exact"/>
        <w:ind w:firstLine="482" w:firstLineChars="200"/>
        <w:rPr>
          <w:rFonts w:ascii="宋体" w:hAnsi="宋体" w:eastAsia="宋体"/>
          <w:b/>
          <w:sz w:val="24"/>
        </w:rPr>
      </w:pPr>
      <w:r>
        <w:rPr>
          <w:rFonts w:hint="eastAsia" w:ascii="宋体" w:hAnsi="宋体" w:eastAsia="宋体"/>
          <w:b/>
          <w:sz w:val="24"/>
        </w:rPr>
        <w:t>（五）推进公共企事业单位信息公开</w:t>
      </w:r>
    </w:p>
    <w:p>
      <w:pPr>
        <w:spacing w:line="520" w:lineRule="exact"/>
        <w:ind w:firstLine="480" w:firstLineChars="200"/>
        <w:rPr>
          <w:rFonts w:ascii="宋体" w:hAnsi="宋体" w:eastAsia="宋体"/>
          <w:b/>
          <w:sz w:val="24"/>
        </w:rPr>
      </w:pPr>
      <w:r>
        <w:rPr>
          <w:rFonts w:hint="eastAsia" w:ascii="宋体" w:hAnsi="宋体" w:eastAsia="宋体"/>
          <w:sz w:val="24"/>
        </w:rPr>
        <w:t>研究制定教育系统事业单位信息公开专门规定及建立推进公共企事业单位信息公开制度，目前，市直教育系统事业单位均开通微信公众号，动态信息实时更新，确保平台时效性、公众性、公开性。</w:t>
      </w:r>
    </w:p>
    <w:p>
      <w:pPr>
        <w:spacing w:line="520" w:lineRule="exact"/>
        <w:ind w:firstLine="482" w:firstLineChars="200"/>
        <w:rPr>
          <w:rFonts w:ascii="宋体" w:hAnsi="宋体" w:eastAsia="宋体"/>
          <w:b/>
          <w:sz w:val="24"/>
        </w:rPr>
      </w:pPr>
      <w:r>
        <w:rPr>
          <w:rFonts w:hint="eastAsia" w:ascii="宋体" w:hAnsi="宋体" w:eastAsia="宋体"/>
          <w:b/>
          <w:sz w:val="24"/>
        </w:rPr>
        <w:t>（六）着力推进政务公开制度化规范化</w:t>
      </w:r>
    </w:p>
    <w:p>
      <w:pPr>
        <w:spacing w:line="520" w:lineRule="exact"/>
        <w:ind w:firstLine="482" w:firstLineChars="200"/>
        <w:rPr>
          <w:rFonts w:ascii="宋体" w:hAnsi="宋体" w:eastAsia="宋体"/>
          <w:sz w:val="24"/>
        </w:rPr>
      </w:pPr>
      <w:r>
        <w:rPr>
          <w:rFonts w:hint="eastAsia" w:ascii="宋体" w:hAnsi="宋体" w:eastAsia="宋体"/>
          <w:b/>
          <w:sz w:val="24"/>
        </w:rPr>
        <w:t>一是加强政务信息公开审查工作。</w:t>
      </w:r>
      <w:r>
        <w:rPr>
          <w:rFonts w:hint="eastAsia" w:ascii="宋体" w:hAnsi="宋体" w:eastAsia="宋体"/>
          <w:sz w:val="24"/>
        </w:rPr>
        <w:t>今年，信息公开努力完成了对公开内容表述、公开时机、公开方式的研判，避免发生信息发布失信、影响社会稳定等问题。</w:t>
      </w:r>
      <w:r>
        <w:rPr>
          <w:rFonts w:hint="eastAsia" w:ascii="宋体" w:hAnsi="宋体" w:eastAsia="宋体"/>
          <w:b/>
          <w:sz w:val="24"/>
        </w:rPr>
        <w:t>二是强化政务公开教育和培训。</w:t>
      </w:r>
      <w:r>
        <w:rPr>
          <w:rFonts w:hint="eastAsia" w:ascii="宋体" w:hAnsi="宋体" w:eastAsia="宋体"/>
          <w:sz w:val="24"/>
        </w:rPr>
        <w:t>制定年度业务培训计划，今年组织开展政务公开工作业务培训一次，通过培训，提高了基层政务公开工作人员思想认识和加强了政策理论学习的研究。</w:t>
      </w:r>
      <w:r>
        <w:rPr>
          <w:rFonts w:ascii="宋体" w:hAnsi="宋体" w:eastAsia="宋体"/>
          <w:sz w:val="24"/>
        </w:rPr>
        <w:t xml:space="preserve"> </w:t>
      </w:r>
      <w:r>
        <w:rPr>
          <w:rFonts w:hint="eastAsia" w:ascii="宋体" w:hAnsi="宋体" w:eastAsia="宋体"/>
          <w:b/>
          <w:sz w:val="24"/>
        </w:rPr>
        <w:t>三是做好依申请公开工作。</w:t>
      </w:r>
      <w:r>
        <w:rPr>
          <w:rFonts w:hint="eastAsia" w:ascii="宋体" w:hAnsi="宋体" w:eastAsia="宋体"/>
          <w:sz w:val="24"/>
        </w:rPr>
        <w:t>通过局机关各科室协作，迅速回复依申请需答复的内容。坚持公正、公平、便民的原则，依法处理依申请公开事项，对登记、审核、分办、汇总意见、告知答复、备案等各个环节进行规范，依法、依规开展工作。</w:t>
      </w:r>
    </w:p>
    <w:p>
      <w:pPr>
        <w:spacing w:line="520" w:lineRule="exact"/>
        <w:ind w:firstLine="482" w:firstLineChars="200"/>
        <w:rPr>
          <w:rFonts w:ascii="宋体" w:hAnsi="宋体" w:eastAsia="宋体"/>
          <w:b/>
          <w:sz w:val="24"/>
        </w:rPr>
      </w:pPr>
      <w:r>
        <w:rPr>
          <w:rFonts w:hint="eastAsia" w:ascii="宋体" w:hAnsi="宋体" w:eastAsia="宋体"/>
          <w:b/>
          <w:sz w:val="24"/>
        </w:rPr>
        <w:t>（</w:t>
      </w:r>
      <w:r>
        <w:rPr>
          <w:rFonts w:hint="eastAsia" w:ascii="宋体" w:hAnsi="宋体" w:eastAsia="宋体"/>
          <w:b/>
          <w:sz w:val="24"/>
          <w:lang w:eastAsia="zh-CN"/>
        </w:rPr>
        <w:t>七</w:t>
      </w:r>
      <w:r>
        <w:rPr>
          <w:rFonts w:hint="eastAsia" w:ascii="宋体" w:hAnsi="宋体" w:eastAsia="宋体"/>
          <w:b/>
          <w:sz w:val="24"/>
        </w:rPr>
        <w:t>）公文公开属性源头认定工作落实情况</w:t>
      </w:r>
    </w:p>
    <w:p>
      <w:pPr>
        <w:spacing w:line="520" w:lineRule="exact"/>
        <w:ind w:firstLine="480" w:firstLineChars="200"/>
        <w:rPr>
          <w:rStyle w:val="9"/>
          <w:rFonts w:cs="微软雅黑" w:asciiTheme="minorEastAsia" w:hAnsiTheme="minorEastAsia"/>
          <w:spacing w:val="8"/>
        </w:rPr>
      </w:pPr>
      <w:r>
        <w:rPr>
          <w:rFonts w:hint="eastAsia" w:ascii="宋体" w:hAnsi="宋体" w:eastAsia="宋体"/>
          <w:sz w:val="24"/>
        </w:rPr>
        <w:t>为进一步规范政府信息公开目录，严格落实信息公开属性源头认定工作，根据《关于印发&lt;白山市公文公开属性源头认定工作实施方案&gt;的通知》（白山政办函〔2018〕36号）文件精神，进一步提高认识，强化领导，落实责任，确保工作落实到位。</w:t>
      </w:r>
      <w:r>
        <w:rPr>
          <w:rFonts w:hint="eastAsia" w:ascii="宋体" w:hAnsi="宋体" w:eastAsia="宋体"/>
          <w:b/>
          <w:sz w:val="24"/>
        </w:rPr>
        <w:t>一是明确工作目标。</w:t>
      </w:r>
      <w:r>
        <w:rPr>
          <w:rFonts w:hint="eastAsia" w:ascii="宋体" w:hAnsi="宋体" w:eastAsia="宋体"/>
          <w:sz w:val="24"/>
        </w:rPr>
        <w:t>在市直教育系统各单位转发《关于印发&lt;白山市公文公开属性源头认定工作实施方案&gt;的通知》（白山政办函〔2018〕36号）文件精神，明确任务目标和具体落实内容。</w:t>
      </w:r>
      <w:r>
        <w:rPr>
          <w:rFonts w:hint="eastAsia" w:ascii="宋体" w:hAnsi="宋体" w:eastAsia="宋体"/>
          <w:b/>
          <w:sz w:val="24"/>
        </w:rPr>
        <w:t>二是确定公文标识公开属性的范围。</w:t>
      </w:r>
      <w:r>
        <w:rPr>
          <w:rFonts w:hint="eastAsia" w:ascii="宋体" w:hAnsi="宋体" w:eastAsia="宋体"/>
          <w:sz w:val="24"/>
        </w:rPr>
        <w:t>局机关及直属单位在履行职责过程中形成的具有法定效力和规范体式的文书，包括决定、通告、通知、通报、报告、请示、批复、意见、函、会议纪要等。</w:t>
      </w:r>
      <w:r>
        <w:rPr>
          <w:rFonts w:hint="eastAsia" w:ascii="宋体" w:hAnsi="宋体" w:eastAsia="宋体"/>
          <w:b/>
          <w:sz w:val="24"/>
        </w:rPr>
        <w:t>三是认真执行公文标识公开属性应依据《条例》、《保密法》等相关法律法规。</w:t>
      </w:r>
      <w:r>
        <w:rPr>
          <w:rFonts w:hint="eastAsia" w:ascii="宋体" w:hAnsi="宋体" w:eastAsia="宋体"/>
          <w:sz w:val="24"/>
        </w:rPr>
        <w:t>按照“谁制作、谁提出、谁审查、谁办理”的原则，在公文产生的过程中同步确定其属于主动公开、依申请公开、不公开3种属性中的1种。</w:t>
      </w:r>
      <w:r>
        <w:rPr>
          <w:rFonts w:hint="eastAsia" w:ascii="宋体" w:hAnsi="宋体" w:eastAsia="宋体"/>
          <w:b/>
          <w:sz w:val="24"/>
        </w:rPr>
        <w:t>四是明确公文标识公开属性的办理流程。</w:t>
      </w:r>
      <w:r>
        <w:rPr>
          <w:rFonts w:hint="eastAsia" w:ascii="宋体" w:hAnsi="宋体" w:eastAsia="宋体"/>
          <w:sz w:val="24"/>
        </w:rPr>
        <w:t>公文公开属性由拟稿人提出，并在发文呈批单上写明该公文属于“主动公开”、“依申请公开”或“不公开”;公文公开属性经局办公室审核后，按发文报批程序逐级进行报批。公文签发人在签发公文时，最终确定该公文的公开属性。局办公室对各科室、单位拟发公文公开属性标注进行核对把关。</w:t>
      </w:r>
      <w:r>
        <w:rPr>
          <w:rFonts w:hint="eastAsia" w:ascii="宋体" w:hAnsi="宋体" w:eastAsia="宋体"/>
          <w:b/>
          <w:sz w:val="24"/>
        </w:rPr>
        <w:t>五是严格按照公文确定的公开属性。</w:t>
      </w:r>
      <w:r>
        <w:rPr>
          <w:rFonts w:hint="eastAsia" w:ascii="宋体" w:hAnsi="宋体" w:eastAsia="宋体"/>
          <w:sz w:val="24"/>
        </w:rPr>
        <w:t>在附注位置(在成文日期下一行)加括号“主动公开”、“依申请公开”或“不公开”。</w:t>
      </w:r>
    </w:p>
    <w:p>
      <w:pPr>
        <w:pStyle w:val="4"/>
        <w:keepNext w:val="0"/>
        <w:keepLines w:val="0"/>
        <w:widowControl/>
        <w:numPr>
          <w:ilvl w:val="0"/>
          <w:numId w:val="1"/>
        </w:numPr>
        <w:suppressLineNumbers w:val="0"/>
        <w:ind w:firstLine="514" w:firstLineChars="200"/>
        <w:rPr>
          <w:rStyle w:val="9"/>
          <w:rFonts w:hint="eastAsia" w:ascii="宋体" w:hAnsi="宋体" w:eastAsia="宋体" w:cs="宋体"/>
          <w:spacing w:val="8"/>
          <w:sz w:val="24"/>
          <w:szCs w:val="24"/>
        </w:rPr>
      </w:pPr>
      <w:r>
        <w:rPr>
          <w:rStyle w:val="9"/>
          <w:rFonts w:hint="eastAsia" w:ascii="宋体" w:hAnsi="宋体" w:eastAsia="宋体" w:cs="宋体"/>
          <w:spacing w:val="8"/>
          <w:sz w:val="24"/>
          <w:szCs w:val="24"/>
        </w:rPr>
        <w:t>主动公开政府信息情况</w:t>
      </w:r>
    </w:p>
    <w:p>
      <w:pPr>
        <w:pStyle w:val="4"/>
        <w:keepNext w:val="0"/>
        <w:keepLines w:val="0"/>
        <w:widowControl/>
        <w:numPr>
          <w:numId w:val="0"/>
        </w:numPr>
        <w:suppressLineNumbers w:val="0"/>
        <w:rPr>
          <w:rStyle w:val="9"/>
          <w:rFonts w:hint="eastAsia" w:ascii="宋体" w:hAnsi="宋体" w:eastAsia="宋体" w:cs="宋体"/>
          <w:spacing w:val="8"/>
          <w:sz w:val="24"/>
          <w:szCs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522" w:type="dxa"/>
            <w:gridSpan w:val="4"/>
            <w:noWrap w:val="0"/>
            <w:vAlign w:val="center"/>
          </w:tcPr>
          <w:p>
            <w:pPr>
              <w:pStyle w:val="4"/>
              <w:keepNext w:val="0"/>
              <w:keepLines w:val="0"/>
              <w:widowControl/>
              <w:suppressLineNumbers w:val="0"/>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第二十条 第 （一）项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30" w:type="dxa"/>
            <w:noWrap w:val="0"/>
            <w:vAlign w:val="center"/>
          </w:tcPr>
          <w:p>
            <w:pPr>
              <w:pStyle w:val="4"/>
              <w:keepNext w:val="0"/>
              <w:keepLines w:val="0"/>
              <w:widowControl/>
              <w:suppressLineNumbers w:val="0"/>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信息内容</w:t>
            </w:r>
          </w:p>
        </w:tc>
        <w:tc>
          <w:tcPr>
            <w:tcW w:w="2130" w:type="dxa"/>
            <w:noWrap w:val="0"/>
            <w:vAlign w:val="center"/>
          </w:tcPr>
          <w:p>
            <w:pPr>
              <w:pStyle w:val="4"/>
              <w:keepNext w:val="0"/>
              <w:keepLines w:val="0"/>
              <w:widowControl/>
              <w:suppressLineNumbers w:val="0"/>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本年制发件数</w:t>
            </w:r>
          </w:p>
        </w:tc>
        <w:tc>
          <w:tcPr>
            <w:tcW w:w="2131" w:type="dxa"/>
            <w:noWrap w:val="0"/>
            <w:vAlign w:val="center"/>
          </w:tcPr>
          <w:p>
            <w:pPr>
              <w:pStyle w:val="4"/>
              <w:keepNext w:val="0"/>
              <w:keepLines w:val="0"/>
              <w:widowControl/>
              <w:suppressLineNumbers w:val="0"/>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本年废止件数</w:t>
            </w:r>
          </w:p>
        </w:tc>
        <w:tc>
          <w:tcPr>
            <w:tcW w:w="2131" w:type="dxa"/>
            <w:noWrap w:val="0"/>
            <w:vAlign w:val="center"/>
          </w:tcPr>
          <w:p>
            <w:pPr>
              <w:pStyle w:val="4"/>
              <w:keepNext w:val="0"/>
              <w:keepLines w:val="0"/>
              <w:widowControl/>
              <w:suppressLineNumbers w:val="0"/>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pStyle w:val="4"/>
              <w:keepNext w:val="0"/>
              <w:keepLines w:val="0"/>
              <w:widowControl/>
              <w:suppressLineNumbers w:val="0"/>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规章</w:t>
            </w:r>
          </w:p>
        </w:tc>
        <w:tc>
          <w:tcPr>
            <w:tcW w:w="2130" w:type="dxa"/>
            <w:noWrap w:val="0"/>
            <w:vAlign w:val="center"/>
          </w:tcPr>
          <w:p>
            <w:pPr>
              <w:pStyle w:val="4"/>
              <w:keepNext w:val="0"/>
              <w:keepLines w:val="0"/>
              <w:widowControl/>
              <w:suppressLineNumbers w:val="0"/>
              <w:jc w:val="center"/>
              <w:rPr>
                <w:rFonts w:hint="eastAsia" w:ascii="宋体" w:hAnsi="宋体" w:eastAsia="宋体" w:cs="宋体"/>
                <w:sz w:val="24"/>
                <w:szCs w:val="24"/>
                <w:vertAlign w:val="baseline"/>
                <w:lang w:val="en-US" w:eastAsia="zh-CN"/>
              </w:rPr>
            </w:pPr>
            <w:r>
              <w:rPr>
                <w:rFonts w:hint="eastAsia" w:cs="宋体"/>
                <w:sz w:val="24"/>
                <w:szCs w:val="24"/>
                <w:vertAlign w:val="baseline"/>
                <w:lang w:val="en-US" w:eastAsia="zh-CN"/>
              </w:rPr>
              <w:t>0</w:t>
            </w:r>
          </w:p>
        </w:tc>
        <w:tc>
          <w:tcPr>
            <w:tcW w:w="2131" w:type="dxa"/>
            <w:noWrap w:val="0"/>
            <w:vAlign w:val="center"/>
          </w:tcPr>
          <w:p>
            <w:pPr>
              <w:pStyle w:val="4"/>
              <w:keepNext w:val="0"/>
              <w:keepLines w:val="0"/>
              <w:widowControl/>
              <w:suppressLineNumbers w:val="0"/>
              <w:jc w:val="center"/>
              <w:rPr>
                <w:rFonts w:hint="eastAsia" w:ascii="宋体" w:hAnsi="宋体" w:eastAsia="宋体" w:cs="宋体"/>
                <w:sz w:val="24"/>
                <w:szCs w:val="24"/>
                <w:vertAlign w:val="baseline"/>
                <w:lang w:val="en-US" w:eastAsia="zh-CN"/>
              </w:rPr>
            </w:pPr>
            <w:r>
              <w:rPr>
                <w:rFonts w:hint="eastAsia" w:cs="宋体"/>
                <w:sz w:val="24"/>
                <w:szCs w:val="24"/>
                <w:vertAlign w:val="baseline"/>
                <w:lang w:val="en-US" w:eastAsia="zh-CN"/>
              </w:rPr>
              <w:t>0</w:t>
            </w:r>
          </w:p>
        </w:tc>
        <w:tc>
          <w:tcPr>
            <w:tcW w:w="2131" w:type="dxa"/>
            <w:noWrap w:val="0"/>
            <w:vAlign w:val="center"/>
          </w:tcPr>
          <w:p>
            <w:pPr>
              <w:pStyle w:val="4"/>
              <w:keepNext w:val="0"/>
              <w:keepLines w:val="0"/>
              <w:widowControl/>
              <w:suppressLineNumbers w:val="0"/>
              <w:jc w:val="center"/>
              <w:rPr>
                <w:rFonts w:hint="eastAsia" w:ascii="宋体" w:hAnsi="宋体" w:eastAsia="宋体" w:cs="宋体"/>
                <w:sz w:val="24"/>
                <w:szCs w:val="24"/>
                <w:vertAlign w:val="baseline"/>
                <w:lang w:val="en-US" w:eastAsia="zh-CN"/>
              </w:rPr>
            </w:pPr>
            <w:r>
              <w:rPr>
                <w:rFonts w:hint="eastAsia" w:cs="宋体"/>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pStyle w:val="4"/>
              <w:keepNext w:val="0"/>
              <w:keepLines w:val="0"/>
              <w:widowControl/>
              <w:suppressLineNumbers w:val="0"/>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行政规范性文件</w:t>
            </w:r>
          </w:p>
        </w:tc>
        <w:tc>
          <w:tcPr>
            <w:tcW w:w="2130" w:type="dxa"/>
            <w:noWrap w:val="0"/>
            <w:vAlign w:val="center"/>
          </w:tcPr>
          <w:p>
            <w:pPr>
              <w:pStyle w:val="4"/>
              <w:keepNext w:val="0"/>
              <w:keepLines w:val="0"/>
              <w:widowControl/>
              <w:suppressLineNumbers w:val="0"/>
              <w:jc w:val="center"/>
              <w:rPr>
                <w:rFonts w:hint="eastAsia" w:ascii="宋体" w:hAnsi="宋体" w:eastAsia="宋体" w:cs="宋体"/>
                <w:sz w:val="24"/>
                <w:szCs w:val="24"/>
                <w:vertAlign w:val="baseline"/>
                <w:lang w:val="en-US" w:eastAsia="zh-CN"/>
              </w:rPr>
            </w:pPr>
            <w:r>
              <w:rPr>
                <w:rFonts w:hint="eastAsia" w:cs="宋体"/>
                <w:sz w:val="24"/>
                <w:szCs w:val="24"/>
                <w:vertAlign w:val="baseline"/>
                <w:lang w:val="en-US" w:eastAsia="zh-CN"/>
              </w:rPr>
              <w:t>0</w:t>
            </w:r>
          </w:p>
        </w:tc>
        <w:tc>
          <w:tcPr>
            <w:tcW w:w="2131" w:type="dxa"/>
            <w:noWrap w:val="0"/>
            <w:vAlign w:val="center"/>
          </w:tcPr>
          <w:p>
            <w:pPr>
              <w:pStyle w:val="4"/>
              <w:keepNext w:val="0"/>
              <w:keepLines w:val="0"/>
              <w:widowControl/>
              <w:suppressLineNumbers w:val="0"/>
              <w:jc w:val="center"/>
              <w:rPr>
                <w:rFonts w:hint="eastAsia" w:ascii="宋体" w:hAnsi="宋体" w:eastAsia="宋体" w:cs="宋体"/>
                <w:sz w:val="24"/>
                <w:szCs w:val="24"/>
                <w:vertAlign w:val="baseline"/>
                <w:lang w:val="en-US" w:eastAsia="zh-CN"/>
              </w:rPr>
            </w:pPr>
            <w:r>
              <w:rPr>
                <w:rFonts w:hint="eastAsia" w:cs="宋体"/>
                <w:sz w:val="24"/>
                <w:szCs w:val="24"/>
                <w:vertAlign w:val="baseline"/>
                <w:lang w:val="en-US" w:eastAsia="zh-CN"/>
              </w:rPr>
              <w:t>0</w:t>
            </w:r>
          </w:p>
        </w:tc>
        <w:tc>
          <w:tcPr>
            <w:tcW w:w="2131" w:type="dxa"/>
            <w:noWrap w:val="0"/>
            <w:vAlign w:val="center"/>
          </w:tcPr>
          <w:p>
            <w:pPr>
              <w:pStyle w:val="4"/>
              <w:keepNext w:val="0"/>
              <w:keepLines w:val="0"/>
              <w:widowControl/>
              <w:suppressLineNumbers w:val="0"/>
              <w:jc w:val="center"/>
              <w:rPr>
                <w:rFonts w:hint="eastAsia" w:ascii="宋体" w:hAnsi="宋体" w:eastAsia="宋体" w:cs="宋体"/>
                <w:sz w:val="24"/>
                <w:szCs w:val="24"/>
                <w:vertAlign w:val="baseline"/>
                <w:lang w:val="en-US" w:eastAsia="zh-CN"/>
              </w:rPr>
            </w:pPr>
            <w:r>
              <w:rPr>
                <w:rFonts w:hint="eastAsia" w:cs="宋体"/>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noWrap w:val="0"/>
            <w:vAlign w:val="center"/>
          </w:tcPr>
          <w:p>
            <w:pPr>
              <w:pStyle w:val="4"/>
              <w:keepNext w:val="0"/>
              <w:keepLines w:val="0"/>
              <w:widowControl/>
              <w:suppressLineNumbers w:val="0"/>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第二十条 第 （五）项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0" w:type="dxa"/>
            <w:noWrap w:val="0"/>
            <w:vAlign w:val="center"/>
          </w:tcPr>
          <w:p>
            <w:pPr>
              <w:pStyle w:val="4"/>
              <w:keepNext w:val="0"/>
              <w:keepLines w:val="0"/>
              <w:widowControl/>
              <w:suppressLineNumbers w:val="0"/>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信息内容</w:t>
            </w:r>
          </w:p>
        </w:tc>
        <w:tc>
          <w:tcPr>
            <w:tcW w:w="6392" w:type="dxa"/>
            <w:gridSpan w:val="3"/>
            <w:noWrap w:val="0"/>
            <w:vAlign w:val="center"/>
          </w:tcPr>
          <w:p>
            <w:pPr>
              <w:pStyle w:val="4"/>
              <w:keepNext w:val="0"/>
              <w:keepLines w:val="0"/>
              <w:widowControl/>
              <w:suppressLineNumbers w:val="0"/>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pStyle w:val="4"/>
              <w:keepNext w:val="0"/>
              <w:keepLines w:val="0"/>
              <w:widowControl/>
              <w:suppressLineNumbers w:val="0"/>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行政许可</w:t>
            </w:r>
          </w:p>
        </w:tc>
        <w:tc>
          <w:tcPr>
            <w:tcW w:w="6392" w:type="dxa"/>
            <w:gridSpan w:val="3"/>
            <w:noWrap w:val="0"/>
            <w:vAlign w:val="center"/>
          </w:tcPr>
          <w:p>
            <w:pPr>
              <w:pStyle w:val="4"/>
              <w:keepNext w:val="0"/>
              <w:keepLines w:val="0"/>
              <w:widowControl/>
              <w:suppressLineNumbers w:val="0"/>
              <w:jc w:val="center"/>
              <w:rPr>
                <w:rFonts w:hint="default" w:ascii="宋体" w:hAnsi="宋体" w:eastAsia="宋体" w:cs="宋体"/>
                <w:sz w:val="24"/>
                <w:szCs w:val="24"/>
                <w:vertAlign w:val="baseline"/>
                <w:lang w:val="en-US" w:eastAsia="zh-CN"/>
              </w:rPr>
            </w:pPr>
            <w:r>
              <w:rPr>
                <w:rFonts w:hint="eastAsia" w:cs="宋体"/>
                <w:sz w:val="24"/>
                <w:szCs w:val="24"/>
                <w:vertAlign w:val="baseline"/>
                <w:lang w:val="en-US" w:eastAsia="zh-CN"/>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noWrap w:val="0"/>
            <w:vAlign w:val="center"/>
          </w:tcPr>
          <w:p>
            <w:pPr>
              <w:pStyle w:val="4"/>
              <w:keepNext w:val="0"/>
              <w:keepLines w:val="0"/>
              <w:widowControl/>
              <w:suppressLineNumbers w:val="0"/>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第二十条 第 （六）项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pStyle w:val="4"/>
              <w:keepNext w:val="0"/>
              <w:keepLines w:val="0"/>
              <w:widowControl/>
              <w:suppressLineNumbers w:val="0"/>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信息内容</w:t>
            </w:r>
          </w:p>
        </w:tc>
        <w:tc>
          <w:tcPr>
            <w:tcW w:w="6392" w:type="dxa"/>
            <w:gridSpan w:val="3"/>
            <w:noWrap w:val="0"/>
            <w:vAlign w:val="center"/>
          </w:tcPr>
          <w:p>
            <w:pPr>
              <w:pStyle w:val="4"/>
              <w:keepNext w:val="0"/>
              <w:keepLines w:val="0"/>
              <w:widowControl/>
              <w:suppressLineNumbers w:val="0"/>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pStyle w:val="4"/>
              <w:keepNext w:val="0"/>
              <w:keepLines w:val="0"/>
              <w:widowControl/>
              <w:suppressLineNumbers w:val="0"/>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行政处罚</w:t>
            </w:r>
          </w:p>
        </w:tc>
        <w:tc>
          <w:tcPr>
            <w:tcW w:w="6392" w:type="dxa"/>
            <w:gridSpan w:val="3"/>
            <w:noWrap w:val="0"/>
            <w:vAlign w:val="center"/>
          </w:tcPr>
          <w:p>
            <w:pPr>
              <w:pStyle w:val="4"/>
              <w:keepNext w:val="0"/>
              <w:keepLines w:val="0"/>
              <w:widowControl/>
              <w:suppressLineNumbers w:val="0"/>
              <w:jc w:val="center"/>
              <w:rPr>
                <w:rFonts w:hint="eastAsia" w:ascii="宋体" w:hAnsi="宋体" w:eastAsia="宋体" w:cs="宋体"/>
                <w:sz w:val="24"/>
                <w:szCs w:val="24"/>
                <w:vertAlign w:val="baseline"/>
                <w:lang w:val="en-US" w:eastAsia="zh-CN"/>
              </w:rPr>
            </w:pPr>
            <w:r>
              <w:rPr>
                <w:rFonts w:hint="eastAsia" w:cs="宋体"/>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pStyle w:val="4"/>
              <w:keepNext w:val="0"/>
              <w:keepLines w:val="0"/>
              <w:widowControl/>
              <w:suppressLineNumbers w:val="0"/>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行政强制</w:t>
            </w:r>
          </w:p>
        </w:tc>
        <w:tc>
          <w:tcPr>
            <w:tcW w:w="6392" w:type="dxa"/>
            <w:gridSpan w:val="3"/>
            <w:noWrap w:val="0"/>
            <w:vAlign w:val="center"/>
          </w:tcPr>
          <w:p>
            <w:pPr>
              <w:pStyle w:val="4"/>
              <w:keepNext w:val="0"/>
              <w:keepLines w:val="0"/>
              <w:widowControl/>
              <w:suppressLineNumbers w:val="0"/>
              <w:jc w:val="center"/>
              <w:rPr>
                <w:rFonts w:hint="eastAsia" w:ascii="宋体" w:hAnsi="宋体" w:eastAsia="宋体" w:cs="宋体"/>
                <w:sz w:val="24"/>
                <w:szCs w:val="24"/>
                <w:vertAlign w:val="baseline"/>
                <w:lang w:val="en-US" w:eastAsia="zh-CN"/>
              </w:rPr>
            </w:pPr>
            <w:r>
              <w:rPr>
                <w:rFonts w:hint="eastAsia" w:cs="宋体"/>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noWrap w:val="0"/>
            <w:vAlign w:val="center"/>
          </w:tcPr>
          <w:p>
            <w:pPr>
              <w:pStyle w:val="4"/>
              <w:keepNext w:val="0"/>
              <w:keepLines w:val="0"/>
              <w:widowControl/>
              <w:suppressLineNumbers w:val="0"/>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第二十条 第 （八）项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pStyle w:val="4"/>
              <w:keepNext w:val="0"/>
              <w:keepLines w:val="0"/>
              <w:widowControl/>
              <w:suppressLineNumbers w:val="0"/>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信息内容</w:t>
            </w:r>
          </w:p>
        </w:tc>
        <w:tc>
          <w:tcPr>
            <w:tcW w:w="6392" w:type="dxa"/>
            <w:gridSpan w:val="3"/>
            <w:noWrap w:val="0"/>
            <w:vAlign w:val="center"/>
          </w:tcPr>
          <w:p>
            <w:pPr>
              <w:pStyle w:val="4"/>
              <w:keepNext w:val="0"/>
              <w:keepLines w:val="0"/>
              <w:widowControl/>
              <w:suppressLineNumbers w:val="0"/>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本年收费金额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pStyle w:val="4"/>
              <w:keepNext w:val="0"/>
              <w:keepLines w:val="0"/>
              <w:widowControl/>
              <w:suppressLineNumbers w:val="0"/>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行政事业性收费</w:t>
            </w:r>
          </w:p>
        </w:tc>
        <w:tc>
          <w:tcPr>
            <w:tcW w:w="6392" w:type="dxa"/>
            <w:gridSpan w:val="3"/>
            <w:noWrap w:val="0"/>
            <w:vAlign w:val="center"/>
          </w:tcPr>
          <w:p>
            <w:pPr>
              <w:pStyle w:val="4"/>
              <w:keepNext w:val="0"/>
              <w:keepLines w:val="0"/>
              <w:widowControl/>
              <w:suppressLineNumbers w:val="0"/>
              <w:jc w:val="center"/>
              <w:rPr>
                <w:rFonts w:hint="eastAsia" w:ascii="宋体" w:hAnsi="宋体" w:eastAsia="宋体" w:cs="宋体"/>
                <w:sz w:val="24"/>
                <w:szCs w:val="24"/>
                <w:vertAlign w:val="baseline"/>
                <w:lang w:val="en-US" w:eastAsia="zh-CN"/>
              </w:rPr>
            </w:pPr>
            <w:r>
              <w:rPr>
                <w:rFonts w:hint="eastAsia" w:cs="宋体"/>
                <w:sz w:val="24"/>
                <w:szCs w:val="24"/>
                <w:vertAlign w:val="baseline"/>
                <w:lang w:val="en-US" w:eastAsia="zh-CN"/>
              </w:rPr>
              <w:t>0</w:t>
            </w:r>
          </w:p>
        </w:tc>
      </w:tr>
    </w:tbl>
    <w:p>
      <w:pPr>
        <w:pStyle w:val="4"/>
        <w:keepNext w:val="0"/>
        <w:keepLines w:val="0"/>
        <w:widowControl/>
        <w:suppressLineNumbers w:val="0"/>
        <w:rPr>
          <w:rFonts w:hint="eastAsia" w:ascii="宋体" w:hAnsi="宋体" w:eastAsia="宋体" w:cs="宋体"/>
          <w:color w:val="000000"/>
          <w:sz w:val="24"/>
          <w:szCs w:val="24"/>
        </w:rPr>
      </w:pPr>
    </w:p>
    <w:p>
      <w:pPr>
        <w:pStyle w:val="4"/>
        <w:keepNext w:val="0"/>
        <w:keepLines w:val="0"/>
        <w:widowControl/>
        <w:numPr>
          <w:numId w:val="0"/>
        </w:numPr>
        <w:suppressLineNumbers w:val="0"/>
        <w:ind w:firstLine="482" w:firstLineChars="200"/>
        <w:rPr>
          <w:rFonts w:hint="eastAsia" w:ascii="宋体" w:hAnsi="宋体" w:eastAsia="宋体" w:cs="宋体"/>
          <w:b/>
          <w:bCs/>
          <w:color w:val="000000"/>
          <w:sz w:val="24"/>
          <w:szCs w:val="24"/>
        </w:rPr>
      </w:pPr>
      <w:r>
        <w:rPr>
          <w:rFonts w:hint="eastAsia" w:cs="宋体"/>
          <w:b/>
          <w:bCs/>
          <w:color w:val="000000"/>
          <w:sz w:val="24"/>
          <w:szCs w:val="24"/>
          <w:lang w:eastAsia="zh-CN"/>
        </w:rPr>
        <w:t>三、</w:t>
      </w:r>
      <w:r>
        <w:rPr>
          <w:rFonts w:hint="eastAsia" w:ascii="宋体" w:hAnsi="宋体" w:eastAsia="宋体" w:cs="宋体"/>
          <w:b/>
          <w:bCs/>
          <w:color w:val="000000"/>
          <w:sz w:val="24"/>
          <w:szCs w:val="24"/>
        </w:rPr>
        <w:t>收到和处理政府信息公开申请情况</w:t>
      </w:r>
    </w:p>
    <w:p>
      <w:pPr>
        <w:pStyle w:val="4"/>
        <w:keepNext w:val="0"/>
        <w:keepLines w:val="0"/>
        <w:widowControl/>
        <w:numPr>
          <w:numId w:val="0"/>
        </w:numPr>
        <w:suppressLineNumbers w:val="0"/>
        <w:rPr>
          <w:rFonts w:hint="eastAsia" w:ascii="宋体" w:hAnsi="宋体" w:eastAsia="宋体" w:cs="宋体"/>
          <w:color w:val="000000"/>
          <w:sz w:val="24"/>
          <w:szCs w:val="24"/>
        </w:rPr>
      </w:pPr>
    </w:p>
    <w:tbl>
      <w:tblPr>
        <w:tblStyle w:val="6"/>
        <w:tblW w:w="7936" w:type="dxa"/>
        <w:tblInd w:w="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838"/>
        <w:gridCol w:w="3446"/>
        <w:gridCol w:w="409"/>
        <w:gridCol w:w="439"/>
        <w:gridCol w:w="433"/>
        <w:gridCol w:w="433"/>
        <w:gridCol w:w="439"/>
        <w:gridCol w:w="416"/>
        <w:gridCol w:w="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4951" w:type="dxa"/>
            <w:gridSpan w:val="3"/>
            <w:vMerge w:val="restart"/>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（本列数据的勾稽关系为：第一项加第二项之和，等于第三项加第四项之和）</w:t>
            </w:r>
          </w:p>
        </w:tc>
        <w:tc>
          <w:tcPr>
            <w:tcW w:w="2985" w:type="dxa"/>
            <w:gridSpan w:val="7"/>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951" w:type="dxa"/>
            <w:gridSpan w:val="3"/>
            <w:vMerge w:val="continue"/>
            <w:noWrap w:val="0"/>
            <w:vAlign w:val="center"/>
          </w:tcPr>
          <w:p>
            <w:pPr>
              <w:jc w:val="center"/>
              <w:rPr>
                <w:rFonts w:hint="eastAsia" w:ascii="宋体" w:hAnsi="宋体" w:eastAsia="宋体" w:cs="宋体"/>
                <w:i w:val="0"/>
                <w:color w:val="000000"/>
                <w:sz w:val="24"/>
                <w:szCs w:val="24"/>
                <w:u w:val="none"/>
              </w:rPr>
            </w:pPr>
          </w:p>
        </w:tc>
        <w:tc>
          <w:tcPr>
            <w:tcW w:w="409"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自然人</w:t>
            </w:r>
          </w:p>
        </w:tc>
        <w:tc>
          <w:tcPr>
            <w:tcW w:w="2160" w:type="dxa"/>
            <w:gridSpan w:val="5"/>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法人或其他组织</w:t>
            </w:r>
          </w:p>
        </w:tc>
        <w:tc>
          <w:tcPr>
            <w:tcW w:w="416" w:type="dxa"/>
            <w:vMerge w:val="restart"/>
            <w:noWrap/>
            <w:vAlign w:val="center"/>
          </w:tcPr>
          <w:p>
            <w:pP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4951" w:type="dxa"/>
            <w:gridSpan w:val="3"/>
            <w:vMerge w:val="continue"/>
            <w:noWrap w:val="0"/>
            <w:vAlign w:val="center"/>
          </w:tcPr>
          <w:p>
            <w:pPr>
              <w:jc w:val="center"/>
              <w:rPr>
                <w:rFonts w:hint="eastAsia" w:ascii="宋体" w:hAnsi="宋体" w:eastAsia="宋体" w:cs="宋体"/>
                <w:i w:val="0"/>
                <w:color w:val="000000"/>
                <w:sz w:val="24"/>
                <w:szCs w:val="24"/>
                <w:u w:val="none"/>
              </w:rPr>
            </w:pPr>
          </w:p>
        </w:tc>
        <w:tc>
          <w:tcPr>
            <w:tcW w:w="409" w:type="dxa"/>
            <w:vMerge w:val="continue"/>
            <w:noWrap w:val="0"/>
            <w:vAlign w:val="center"/>
          </w:tcPr>
          <w:p>
            <w:pPr>
              <w:jc w:val="center"/>
              <w:rPr>
                <w:rFonts w:hint="eastAsia" w:ascii="宋体" w:hAnsi="宋体" w:eastAsia="宋体" w:cs="宋体"/>
                <w:i w:val="0"/>
                <w:color w:val="000000"/>
                <w:sz w:val="24"/>
                <w:szCs w:val="24"/>
                <w:u w:val="none"/>
              </w:rPr>
            </w:pPr>
          </w:p>
        </w:tc>
        <w:tc>
          <w:tcPr>
            <w:tcW w:w="439" w:type="dxa"/>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商业企业</w:t>
            </w:r>
          </w:p>
        </w:tc>
        <w:tc>
          <w:tcPr>
            <w:tcW w:w="433" w:type="dxa"/>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科研机构</w:t>
            </w:r>
          </w:p>
        </w:tc>
        <w:tc>
          <w:tcPr>
            <w:tcW w:w="433" w:type="dxa"/>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社会公益组织</w:t>
            </w:r>
          </w:p>
        </w:tc>
        <w:tc>
          <w:tcPr>
            <w:tcW w:w="439" w:type="dxa"/>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法律服务机构</w:t>
            </w:r>
          </w:p>
        </w:tc>
        <w:tc>
          <w:tcPr>
            <w:tcW w:w="416" w:type="dxa"/>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w:t>
            </w:r>
          </w:p>
        </w:tc>
        <w:tc>
          <w:tcPr>
            <w:tcW w:w="416" w:type="dxa"/>
            <w:vMerge w:val="continue"/>
            <w:noWrap/>
            <w:vAlign w:val="center"/>
          </w:tcPr>
          <w:p>
            <w:pP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951" w:type="dxa"/>
            <w:gridSpan w:val="3"/>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一、本年新收政府信息公开申请数量</w:t>
            </w:r>
          </w:p>
        </w:tc>
        <w:tc>
          <w:tcPr>
            <w:tcW w:w="409" w:type="dxa"/>
            <w:noWrap w:val="0"/>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39" w:type="dxa"/>
            <w:noWrap w:val="0"/>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33" w:type="dxa"/>
            <w:noWrap w:val="0"/>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33" w:type="dxa"/>
            <w:noWrap w:val="0"/>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39" w:type="dxa"/>
            <w:noWrap w:val="0"/>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16" w:type="dxa"/>
            <w:noWrap w:val="0"/>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16"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4951" w:type="dxa"/>
            <w:gridSpan w:val="3"/>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二、上年结转政府信息公开申请数量</w:t>
            </w:r>
          </w:p>
        </w:tc>
        <w:tc>
          <w:tcPr>
            <w:tcW w:w="409" w:type="dxa"/>
            <w:noWrap w:val="0"/>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39" w:type="dxa"/>
            <w:noWrap w:val="0"/>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33" w:type="dxa"/>
            <w:noWrap w:val="0"/>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33" w:type="dxa"/>
            <w:noWrap w:val="0"/>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39" w:type="dxa"/>
            <w:noWrap w:val="0"/>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16" w:type="dxa"/>
            <w:noWrap w:val="0"/>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16"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667"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三、本年度办理结果</w:t>
            </w:r>
          </w:p>
        </w:tc>
        <w:tc>
          <w:tcPr>
            <w:tcW w:w="4284" w:type="dxa"/>
            <w:gridSpan w:val="2"/>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（一）予以公开</w:t>
            </w:r>
          </w:p>
        </w:tc>
        <w:tc>
          <w:tcPr>
            <w:tcW w:w="409" w:type="dxa"/>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39" w:type="dxa"/>
            <w:noWrap w:val="0"/>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33" w:type="dxa"/>
            <w:noWrap w:val="0"/>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33" w:type="dxa"/>
            <w:noWrap w:val="0"/>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39" w:type="dxa"/>
            <w:noWrap w:val="0"/>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16" w:type="dxa"/>
            <w:noWrap w:val="0"/>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16"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67" w:type="dxa"/>
            <w:vMerge w:val="continue"/>
            <w:noWrap w:val="0"/>
            <w:vAlign w:val="center"/>
          </w:tcPr>
          <w:p>
            <w:pPr>
              <w:jc w:val="center"/>
              <w:rPr>
                <w:rFonts w:hint="eastAsia" w:ascii="宋体" w:hAnsi="宋体" w:eastAsia="宋体" w:cs="宋体"/>
                <w:i w:val="0"/>
                <w:color w:val="000000"/>
                <w:sz w:val="24"/>
                <w:szCs w:val="24"/>
                <w:u w:val="none"/>
              </w:rPr>
            </w:pPr>
          </w:p>
        </w:tc>
        <w:tc>
          <w:tcPr>
            <w:tcW w:w="4284" w:type="dxa"/>
            <w:gridSpan w:val="2"/>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（二）部分公开 （区分处理的，只计这一情况，不计其他情形）</w:t>
            </w:r>
          </w:p>
        </w:tc>
        <w:tc>
          <w:tcPr>
            <w:tcW w:w="409" w:type="dxa"/>
            <w:noWrap w:val="0"/>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39" w:type="dxa"/>
            <w:noWrap w:val="0"/>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33" w:type="dxa"/>
            <w:noWrap w:val="0"/>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33" w:type="dxa"/>
            <w:noWrap w:val="0"/>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39" w:type="dxa"/>
            <w:noWrap w:val="0"/>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16" w:type="dxa"/>
            <w:noWrap w:val="0"/>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16"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667" w:type="dxa"/>
            <w:vMerge w:val="continue"/>
            <w:noWrap w:val="0"/>
            <w:vAlign w:val="center"/>
          </w:tcPr>
          <w:p>
            <w:pPr>
              <w:jc w:val="center"/>
              <w:rPr>
                <w:rFonts w:hint="eastAsia" w:ascii="宋体" w:hAnsi="宋体" w:eastAsia="宋体" w:cs="宋体"/>
                <w:i w:val="0"/>
                <w:color w:val="000000"/>
                <w:sz w:val="24"/>
                <w:szCs w:val="24"/>
                <w:u w:val="none"/>
              </w:rPr>
            </w:pPr>
          </w:p>
        </w:tc>
        <w:tc>
          <w:tcPr>
            <w:tcW w:w="838" w:type="dxa"/>
            <w:vMerge w:val="restart"/>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（三）不予公开</w:t>
            </w:r>
          </w:p>
        </w:tc>
        <w:tc>
          <w:tcPr>
            <w:tcW w:w="3446" w:type="dxa"/>
            <w:noWrap w:val="0"/>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１.属于国家秘密</w:t>
            </w:r>
          </w:p>
        </w:tc>
        <w:tc>
          <w:tcPr>
            <w:tcW w:w="409"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39"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33"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33"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39"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16"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16"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667" w:type="dxa"/>
            <w:vMerge w:val="continue"/>
            <w:noWrap w:val="0"/>
            <w:vAlign w:val="center"/>
          </w:tcPr>
          <w:p>
            <w:pPr>
              <w:jc w:val="center"/>
              <w:rPr>
                <w:rFonts w:hint="eastAsia" w:ascii="宋体" w:hAnsi="宋体" w:eastAsia="宋体" w:cs="宋体"/>
                <w:i w:val="0"/>
                <w:color w:val="000000"/>
                <w:sz w:val="24"/>
                <w:szCs w:val="24"/>
                <w:u w:val="none"/>
              </w:rPr>
            </w:pPr>
          </w:p>
        </w:tc>
        <w:tc>
          <w:tcPr>
            <w:tcW w:w="838" w:type="dxa"/>
            <w:vMerge w:val="continue"/>
            <w:noWrap/>
            <w:vAlign w:val="center"/>
          </w:tcPr>
          <w:p>
            <w:pPr>
              <w:jc w:val="center"/>
              <w:rPr>
                <w:rFonts w:hint="eastAsia" w:ascii="宋体" w:hAnsi="宋体" w:eastAsia="宋体" w:cs="宋体"/>
                <w:i w:val="0"/>
                <w:color w:val="000000"/>
                <w:sz w:val="24"/>
                <w:szCs w:val="24"/>
                <w:u w:val="none"/>
              </w:rPr>
            </w:pPr>
          </w:p>
        </w:tc>
        <w:tc>
          <w:tcPr>
            <w:tcW w:w="3446" w:type="dxa"/>
            <w:noWrap w:val="0"/>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２.其他法律行政法规禁止公开</w:t>
            </w:r>
          </w:p>
        </w:tc>
        <w:tc>
          <w:tcPr>
            <w:tcW w:w="409"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39"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33"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33"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39"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16"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16"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667" w:type="dxa"/>
            <w:vMerge w:val="continue"/>
            <w:noWrap w:val="0"/>
            <w:vAlign w:val="center"/>
          </w:tcPr>
          <w:p>
            <w:pPr>
              <w:jc w:val="center"/>
              <w:rPr>
                <w:rFonts w:hint="eastAsia" w:ascii="宋体" w:hAnsi="宋体" w:eastAsia="宋体" w:cs="宋体"/>
                <w:i w:val="0"/>
                <w:color w:val="000000"/>
                <w:sz w:val="24"/>
                <w:szCs w:val="24"/>
                <w:u w:val="none"/>
              </w:rPr>
            </w:pPr>
          </w:p>
        </w:tc>
        <w:tc>
          <w:tcPr>
            <w:tcW w:w="838" w:type="dxa"/>
            <w:vMerge w:val="continue"/>
            <w:noWrap/>
            <w:vAlign w:val="center"/>
          </w:tcPr>
          <w:p>
            <w:pPr>
              <w:jc w:val="center"/>
              <w:rPr>
                <w:rFonts w:hint="eastAsia" w:ascii="宋体" w:hAnsi="宋体" w:eastAsia="宋体" w:cs="宋体"/>
                <w:i w:val="0"/>
                <w:color w:val="000000"/>
                <w:sz w:val="24"/>
                <w:szCs w:val="24"/>
                <w:u w:val="none"/>
              </w:rPr>
            </w:pPr>
          </w:p>
        </w:tc>
        <w:tc>
          <w:tcPr>
            <w:tcW w:w="3446" w:type="dxa"/>
            <w:noWrap w:val="0"/>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３.危及“三安全一稳定</w:t>
            </w:r>
          </w:p>
        </w:tc>
        <w:tc>
          <w:tcPr>
            <w:tcW w:w="409"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39"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33"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33"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39"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16"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16"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667" w:type="dxa"/>
            <w:vMerge w:val="continue"/>
            <w:noWrap w:val="0"/>
            <w:vAlign w:val="center"/>
          </w:tcPr>
          <w:p>
            <w:pPr>
              <w:jc w:val="center"/>
              <w:rPr>
                <w:rFonts w:hint="eastAsia" w:ascii="宋体" w:hAnsi="宋体" w:eastAsia="宋体" w:cs="宋体"/>
                <w:i w:val="0"/>
                <w:color w:val="000000"/>
                <w:sz w:val="24"/>
                <w:szCs w:val="24"/>
                <w:u w:val="none"/>
              </w:rPr>
            </w:pPr>
          </w:p>
        </w:tc>
        <w:tc>
          <w:tcPr>
            <w:tcW w:w="838" w:type="dxa"/>
            <w:vMerge w:val="continue"/>
            <w:noWrap/>
            <w:vAlign w:val="center"/>
          </w:tcPr>
          <w:p>
            <w:pPr>
              <w:jc w:val="center"/>
              <w:rPr>
                <w:rFonts w:hint="eastAsia" w:ascii="宋体" w:hAnsi="宋体" w:eastAsia="宋体" w:cs="宋体"/>
                <w:i w:val="0"/>
                <w:color w:val="000000"/>
                <w:sz w:val="24"/>
                <w:szCs w:val="24"/>
                <w:u w:val="none"/>
              </w:rPr>
            </w:pPr>
          </w:p>
        </w:tc>
        <w:tc>
          <w:tcPr>
            <w:tcW w:w="3446" w:type="dxa"/>
            <w:noWrap w:val="0"/>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４.保护第三方合法权益</w:t>
            </w:r>
          </w:p>
        </w:tc>
        <w:tc>
          <w:tcPr>
            <w:tcW w:w="409"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39"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33"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33"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39"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16"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16"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667" w:type="dxa"/>
            <w:vMerge w:val="continue"/>
            <w:noWrap w:val="0"/>
            <w:vAlign w:val="center"/>
          </w:tcPr>
          <w:p>
            <w:pPr>
              <w:jc w:val="center"/>
              <w:rPr>
                <w:rFonts w:hint="eastAsia" w:ascii="宋体" w:hAnsi="宋体" w:eastAsia="宋体" w:cs="宋体"/>
                <w:i w:val="0"/>
                <w:color w:val="000000"/>
                <w:sz w:val="24"/>
                <w:szCs w:val="24"/>
                <w:u w:val="none"/>
              </w:rPr>
            </w:pPr>
          </w:p>
        </w:tc>
        <w:tc>
          <w:tcPr>
            <w:tcW w:w="838" w:type="dxa"/>
            <w:vMerge w:val="continue"/>
            <w:noWrap/>
            <w:vAlign w:val="center"/>
          </w:tcPr>
          <w:p>
            <w:pPr>
              <w:jc w:val="center"/>
              <w:rPr>
                <w:rFonts w:hint="eastAsia" w:ascii="宋体" w:hAnsi="宋体" w:eastAsia="宋体" w:cs="宋体"/>
                <w:i w:val="0"/>
                <w:color w:val="000000"/>
                <w:sz w:val="24"/>
                <w:szCs w:val="24"/>
                <w:u w:val="none"/>
              </w:rPr>
            </w:pPr>
          </w:p>
        </w:tc>
        <w:tc>
          <w:tcPr>
            <w:tcW w:w="3446" w:type="dxa"/>
            <w:noWrap w:val="0"/>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５.属于三类内容事务信息</w:t>
            </w:r>
          </w:p>
        </w:tc>
        <w:tc>
          <w:tcPr>
            <w:tcW w:w="409"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39"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33"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33"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39"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16"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16"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667" w:type="dxa"/>
            <w:vMerge w:val="continue"/>
            <w:noWrap w:val="0"/>
            <w:vAlign w:val="center"/>
          </w:tcPr>
          <w:p>
            <w:pPr>
              <w:jc w:val="center"/>
              <w:rPr>
                <w:rFonts w:hint="eastAsia" w:ascii="宋体" w:hAnsi="宋体" w:eastAsia="宋体" w:cs="宋体"/>
                <w:i w:val="0"/>
                <w:color w:val="000000"/>
                <w:sz w:val="24"/>
                <w:szCs w:val="24"/>
                <w:u w:val="none"/>
              </w:rPr>
            </w:pPr>
          </w:p>
        </w:tc>
        <w:tc>
          <w:tcPr>
            <w:tcW w:w="838" w:type="dxa"/>
            <w:vMerge w:val="continue"/>
            <w:noWrap/>
            <w:vAlign w:val="center"/>
          </w:tcPr>
          <w:p>
            <w:pPr>
              <w:jc w:val="center"/>
              <w:rPr>
                <w:rFonts w:hint="eastAsia" w:ascii="宋体" w:hAnsi="宋体" w:eastAsia="宋体" w:cs="宋体"/>
                <w:i w:val="0"/>
                <w:color w:val="000000"/>
                <w:sz w:val="24"/>
                <w:szCs w:val="24"/>
                <w:u w:val="none"/>
              </w:rPr>
            </w:pPr>
          </w:p>
        </w:tc>
        <w:tc>
          <w:tcPr>
            <w:tcW w:w="3446" w:type="dxa"/>
            <w:noWrap w:val="0"/>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６.属于四类过程性信息</w:t>
            </w:r>
          </w:p>
        </w:tc>
        <w:tc>
          <w:tcPr>
            <w:tcW w:w="409"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39"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33"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33"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39"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16"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16"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67" w:type="dxa"/>
            <w:vMerge w:val="continue"/>
            <w:noWrap w:val="0"/>
            <w:vAlign w:val="center"/>
          </w:tcPr>
          <w:p>
            <w:pPr>
              <w:jc w:val="center"/>
              <w:rPr>
                <w:rFonts w:hint="eastAsia" w:ascii="宋体" w:hAnsi="宋体" w:eastAsia="宋体" w:cs="宋体"/>
                <w:i w:val="0"/>
                <w:color w:val="000000"/>
                <w:sz w:val="24"/>
                <w:szCs w:val="24"/>
                <w:u w:val="none"/>
              </w:rPr>
            </w:pPr>
          </w:p>
        </w:tc>
        <w:tc>
          <w:tcPr>
            <w:tcW w:w="838" w:type="dxa"/>
            <w:vMerge w:val="continue"/>
            <w:noWrap/>
            <w:vAlign w:val="center"/>
          </w:tcPr>
          <w:p>
            <w:pPr>
              <w:jc w:val="center"/>
              <w:rPr>
                <w:rFonts w:hint="eastAsia" w:ascii="宋体" w:hAnsi="宋体" w:eastAsia="宋体" w:cs="宋体"/>
                <w:i w:val="0"/>
                <w:color w:val="000000"/>
                <w:sz w:val="24"/>
                <w:szCs w:val="24"/>
                <w:u w:val="none"/>
              </w:rPr>
            </w:pPr>
          </w:p>
        </w:tc>
        <w:tc>
          <w:tcPr>
            <w:tcW w:w="3446" w:type="dxa"/>
            <w:noWrap w:val="0"/>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７.属于行政执法案卷</w:t>
            </w:r>
          </w:p>
        </w:tc>
        <w:tc>
          <w:tcPr>
            <w:tcW w:w="409"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39"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33"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33"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39"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16"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16"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67" w:type="dxa"/>
            <w:vMerge w:val="continue"/>
            <w:noWrap w:val="0"/>
            <w:vAlign w:val="center"/>
          </w:tcPr>
          <w:p>
            <w:pPr>
              <w:jc w:val="center"/>
              <w:rPr>
                <w:rFonts w:hint="eastAsia" w:ascii="宋体" w:hAnsi="宋体" w:eastAsia="宋体" w:cs="宋体"/>
                <w:i w:val="0"/>
                <w:color w:val="000000"/>
                <w:sz w:val="24"/>
                <w:szCs w:val="24"/>
                <w:u w:val="none"/>
              </w:rPr>
            </w:pPr>
          </w:p>
        </w:tc>
        <w:tc>
          <w:tcPr>
            <w:tcW w:w="838" w:type="dxa"/>
            <w:vMerge w:val="continue"/>
            <w:noWrap/>
            <w:vAlign w:val="center"/>
          </w:tcPr>
          <w:p>
            <w:pPr>
              <w:jc w:val="center"/>
              <w:rPr>
                <w:rFonts w:hint="eastAsia" w:ascii="宋体" w:hAnsi="宋体" w:eastAsia="宋体" w:cs="宋体"/>
                <w:i w:val="0"/>
                <w:color w:val="000000"/>
                <w:sz w:val="24"/>
                <w:szCs w:val="24"/>
                <w:u w:val="none"/>
              </w:rPr>
            </w:pPr>
          </w:p>
        </w:tc>
        <w:tc>
          <w:tcPr>
            <w:tcW w:w="3446" w:type="dxa"/>
            <w:noWrap w:val="0"/>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８.属于行政查询事项</w:t>
            </w:r>
          </w:p>
        </w:tc>
        <w:tc>
          <w:tcPr>
            <w:tcW w:w="409"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39"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33"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33"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39"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16"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16"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667" w:type="dxa"/>
            <w:vMerge w:val="continue"/>
            <w:noWrap w:val="0"/>
            <w:vAlign w:val="center"/>
          </w:tcPr>
          <w:p>
            <w:pPr>
              <w:jc w:val="center"/>
              <w:rPr>
                <w:rFonts w:hint="eastAsia" w:ascii="宋体" w:hAnsi="宋体" w:eastAsia="宋体" w:cs="宋体"/>
                <w:i w:val="0"/>
                <w:color w:val="000000"/>
                <w:sz w:val="24"/>
                <w:szCs w:val="24"/>
                <w:u w:val="none"/>
              </w:rPr>
            </w:pPr>
          </w:p>
        </w:tc>
        <w:tc>
          <w:tcPr>
            <w:tcW w:w="838" w:type="dxa"/>
            <w:vMerge w:val="restart"/>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(四)无法提供</w:t>
            </w:r>
          </w:p>
        </w:tc>
        <w:tc>
          <w:tcPr>
            <w:tcW w:w="3446" w:type="dxa"/>
            <w:noWrap w:val="0"/>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１.本机关不掌握相关政府信息</w:t>
            </w:r>
          </w:p>
        </w:tc>
        <w:tc>
          <w:tcPr>
            <w:tcW w:w="409"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39"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33"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33"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39"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16"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16"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667" w:type="dxa"/>
            <w:vMerge w:val="continue"/>
            <w:noWrap w:val="0"/>
            <w:vAlign w:val="center"/>
          </w:tcPr>
          <w:p>
            <w:pPr>
              <w:jc w:val="center"/>
              <w:rPr>
                <w:rFonts w:hint="eastAsia" w:ascii="宋体" w:hAnsi="宋体" w:eastAsia="宋体" w:cs="宋体"/>
                <w:i w:val="0"/>
                <w:color w:val="000000"/>
                <w:sz w:val="24"/>
                <w:szCs w:val="24"/>
                <w:u w:val="none"/>
              </w:rPr>
            </w:pPr>
          </w:p>
        </w:tc>
        <w:tc>
          <w:tcPr>
            <w:tcW w:w="838" w:type="dxa"/>
            <w:vMerge w:val="continue"/>
            <w:noWrap/>
            <w:vAlign w:val="center"/>
          </w:tcPr>
          <w:p>
            <w:pPr>
              <w:jc w:val="center"/>
              <w:rPr>
                <w:rFonts w:hint="eastAsia" w:ascii="宋体" w:hAnsi="宋体" w:eastAsia="宋体" w:cs="宋体"/>
                <w:i w:val="0"/>
                <w:color w:val="000000"/>
                <w:sz w:val="24"/>
                <w:szCs w:val="24"/>
                <w:u w:val="none"/>
              </w:rPr>
            </w:pPr>
          </w:p>
        </w:tc>
        <w:tc>
          <w:tcPr>
            <w:tcW w:w="3446" w:type="dxa"/>
            <w:noWrap w:val="0"/>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２.没有现成信息需要另行制作</w:t>
            </w:r>
          </w:p>
        </w:tc>
        <w:tc>
          <w:tcPr>
            <w:tcW w:w="409"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39"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33"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33"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39"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16"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16"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667" w:type="dxa"/>
            <w:vMerge w:val="continue"/>
            <w:noWrap w:val="0"/>
            <w:vAlign w:val="center"/>
          </w:tcPr>
          <w:p>
            <w:pPr>
              <w:jc w:val="center"/>
              <w:rPr>
                <w:rFonts w:hint="eastAsia" w:ascii="宋体" w:hAnsi="宋体" w:eastAsia="宋体" w:cs="宋体"/>
                <w:i w:val="0"/>
                <w:color w:val="000000"/>
                <w:sz w:val="24"/>
                <w:szCs w:val="24"/>
                <w:u w:val="none"/>
              </w:rPr>
            </w:pPr>
          </w:p>
        </w:tc>
        <w:tc>
          <w:tcPr>
            <w:tcW w:w="838" w:type="dxa"/>
            <w:vMerge w:val="continue"/>
            <w:noWrap/>
            <w:vAlign w:val="center"/>
          </w:tcPr>
          <w:p>
            <w:pPr>
              <w:jc w:val="center"/>
              <w:rPr>
                <w:rFonts w:hint="eastAsia" w:ascii="宋体" w:hAnsi="宋体" w:eastAsia="宋体" w:cs="宋体"/>
                <w:i w:val="0"/>
                <w:color w:val="000000"/>
                <w:sz w:val="24"/>
                <w:szCs w:val="24"/>
                <w:u w:val="none"/>
              </w:rPr>
            </w:pPr>
          </w:p>
        </w:tc>
        <w:tc>
          <w:tcPr>
            <w:tcW w:w="3446" w:type="dxa"/>
            <w:noWrap w:val="0"/>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３.补正后申请内容仍不明确</w:t>
            </w:r>
          </w:p>
        </w:tc>
        <w:tc>
          <w:tcPr>
            <w:tcW w:w="409"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39"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33"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33"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39"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16"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16"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667" w:type="dxa"/>
            <w:vMerge w:val="continue"/>
            <w:noWrap w:val="0"/>
            <w:vAlign w:val="center"/>
          </w:tcPr>
          <w:p>
            <w:pPr>
              <w:jc w:val="center"/>
              <w:rPr>
                <w:rFonts w:hint="eastAsia" w:ascii="宋体" w:hAnsi="宋体" w:eastAsia="宋体" w:cs="宋体"/>
                <w:i w:val="0"/>
                <w:color w:val="000000"/>
                <w:sz w:val="24"/>
                <w:szCs w:val="24"/>
                <w:u w:val="none"/>
              </w:rPr>
            </w:pPr>
          </w:p>
        </w:tc>
        <w:tc>
          <w:tcPr>
            <w:tcW w:w="838" w:type="dxa"/>
            <w:vMerge w:val="restart"/>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（五）不予处理</w:t>
            </w:r>
          </w:p>
        </w:tc>
        <w:tc>
          <w:tcPr>
            <w:tcW w:w="3446" w:type="dxa"/>
            <w:noWrap w:val="0"/>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１.信访举报投诉类申请</w:t>
            </w:r>
          </w:p>
        </w:tc>
        <w:tc>
          <w:tcPr>
            <w:tcW w:w="409"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39"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33"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33"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39"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16"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16"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667" w:type="dxa"/>
            <w:vMerge w:val="continue"/>
            <w:noWrap w:val="0"/>
            <w:vAlign w:val="center"/>
          </w:tcPr>
          <w:p>
            <w:pPr>
              <w:jc w:val="center"/>
              <w:rPr>
                <w:rFonts w:hint="eastAsia" w:ascii="宋体" w:hAnsi="宋体" w:eastAsia="宋体" w:cs="宋体"/>
                <w:i w:val="0"/>
                <w:color w:val="000000"/>
                <w:sz w:val="24"/>
                <w:szCs w:val="24"/>
                <w:u w:val="none"/>
              </w:rPr>
            </w:pPr>
          </w:p>
        </w:tc>
        <w:tc>
          <w:tcPr>
            <w:tcW w:w="838" w:type="dxa"/>
            <w:vMerge w:val="continue"/>
            <w:noWrap/>
            <w:vAlign w:val="center"/>
          </w:tcPr>
          <w:p>
            <w:pPr>
              <w:jc w:val="center"/>
              <w:rPr>
                <w:rFonts w:hint="eastAsia" w:ascii="宋体" w:hAnsi="宋体" w:eastAsia="宋体" w:cs="宋体"/>
                <w:i w:val="0"/>
                <w:color w:val="000000"/>
                <w:sz w:val="24"/>
                <w:szCs w:val="24"/>
                <w:u w:val="none"/>
              </w:rPr>
            </w:pPr>
          </w:p>
        </w:tc>
        <w:tc>
          <w:tcPr>
            <w:tcW w:w="3446" w:type="dxa"/>
            <w:noWrap w:val="0"/>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２.重复申请</w:t>
            </w:r>
          </w:p>
        </w:tc>
        <w:tc>
          <w:tcPr>
            <w:tcW w:w="409"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39"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33"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33"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39"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16"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16"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67" w:type="dxa"/>
            <w:vMerge w:val="continue"/>
            <w:noWrap w:val="0"/>
            <w:vAlign w:val="center"/>
          </w:tcPr>
          <w:p>
            <w:pPr>
              <w:jc w:val="center"/>
              <w:rPr>
                <w:rFonts w:hint="eastAsia" w:ascii="宋体" w:hAnsi="宋体" w:eastAsia="宋体" w:cs="宋体"/>
                <w:i w:val="0"/>
                <w:color w:val="000000"/>
                <w:sz w:val="24"/>
                <w:szCs w:val="24"/>
                <w:u w:val="none"/>
              </w:rPr>
            </w:pPr>
          </w:p>
        </w:tc>
        <w:tc>
          <w:tcPr>
            <w:tcW w:w="838" w:type="dxa"/>
            <w:vMerge w:val="continue"/>
            <w:noWrap/>
            <w:vAlign w:val="center"/>
          </w:tcPr>
          <w:p>
            <w:pPr>
              <w:jc w:val="center"/>
              <w:rPr>
                <w:rFonts w:hint="eastAsia" w:ascii="宋体" w:hAnsi="宋体" w:eastAsia="宋体" w:cs="宋体"/>
                <w:i w:val="0"/>
                <w:color w:val="000000"/>
                <w:sz w:val="24"/>
                <w:szCs w:val="24"/>
                <w:u w:val="none"/>
              </w:rPr>
            </w:pPr>
          </w:p>
        </w:tc>
        <w:tc>
          <w:tcPr>
            <w:tcW w:w="3446" w:type="dxa"/>
            <w:noWrap w:val="0"/>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３.要求提供公开出版物</w:t>
            </w:r>
          </w:p>
        </w:tc>
        <w:tc>
          <w:tcPr>
            <w:tcW w:w="409"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39"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33"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33"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39"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16"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16"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667" w:type="dxa"/>
            <w:vMerge w:val="continue"/>
            <w:noWrap w:val="0"/>
            <w:vAlign w:val="center"/>
          </w:tcPr>
          <w:p>
            <w:pPr>
              <w:jc w:val="center"/>
              <w:rPr>
                <w:rFonts w:hint="eastAsia" w:ascii="宋体" w:hAnsi="宋体" w:eastAsia="宋体" w:cs="宋体"/>
                <w:i w:val="0"/>
                <w:color w:val="000000"/>
                <w:sz w:val="24"/>
                <w:szCs w:val="24"/>
                <w:u w:val="none"/>
              </w:rPr>
            </w:pPr>
          </w:p>
        </w:tc>
        <w:tc>
          <w:tcPr>
            <w:tcW w:w="838" w:type="dxa"/>
            <w:vMerge w:val="continue"/>
            <w:noWrap/>
            <w:vAlign w:val="center"/>
          </w:tcPr>
          <w:p>
            <w:pPr>
              <w:jc w:val="center"/>
              <w:rPr>
                <w:rFonts w:hint="eastAsia" w:ascii="宋体" w:hAnsi="宋体" w:eastAsia="宋体" w:cs="宋体"/>
                <w:i w:val="0"/>
                <w:color w:val="000000"/>
                <w:sz w:val="24"/>
                <w:szCs w:val="24"/>
                <w:u w:val="none"/>
              </w:rPr>
            </w:pPr>
          </w:p>
        </w:tc>
        <w:tc>
          <w:tcPr>
            <w:tcW w:w="3446" w:type="dxa"/>
            <w:noWrap w:val="0"/>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４.无正当理由大量反复申请</w:t>
            </w:r>
          </w:p>
        </w:tc>
        <w:tc>
          <w:tcPr>
            <w:tcW w:w="409"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39"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33"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33"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39"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16"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16"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667" w:type="dxa"/>
            <w:vMerge w:val="continue"/>
            <w:noWrap w:val="0"/>
            <w:vAlign w:val="center"/>
          </w:tcPr>
          <w:p>
            <w:pPr>
              <w:jc w:val="center"/>
              <w:rPr>
                <w:rFonts w:hint="eastAsia" w:ascii="宋体" w:hAnsi="宋体" w:eastAsia="宋体" w:cs="宋体"/>
                <w:i w:val="0"/>
                <w:color w:val="000000"/>
                <w:sz w:val="24"/>
                <w:szCs w:val="24"/>
                <w:u w:val="none"/>
              </w:rPr>
            </w:pPr>
          </w:p>
        </w:tc>
        <w:tc>
          <w:tcPr>
            <w:tcW w:w="838" w:type="dxa"/>
            <w:vMerge w:val="continue"/>
            <w:noWrap/>
            <w:vAlign w:val="center"/>
          </w:tcPr>
          <w:p>
            <w:pPr>
              <w:jc w:val="center"/>
              <w:rPr>
                <w:rFonts w:hint="eastAsia" w:ascii="宋体" w:hAnsi="宋体" w:eastAsia="宋体" w:cs="宋体"/>
                <w:i w:val="0"/>
                <w:color w:val="000000"/>
                <w:sz w:val="24"/>
                <w:szCs w:val="24"/>
                <w:u w:val="none"/>
              </w:rPr>
            </w:pPr>
          </w:p>
        </w:tc>
        <w:tc>
          <w:tcPr>
            <w:tcW w:w="3446" w:type="dxa"/>
            <w:noWrap w:val="0"/>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５.要求行政机关确认或重新出具已获取信息</w:t>
            </w:r>
          </w:p>
        </w:tc>
        <w:tc>
          <w:tcPr>
            <w:tcW w:w="409"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39"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33"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33"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39"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16"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16"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667" w:type="dxa"/>
            <w:vMerge w:val="continue"/>
            <w:noWrap w:val="0"/>
            <w:vAlign w:val="center"/>
          </w:tcPr>
          <w:p>
            <w:pPr>
              <w:jc w:val="center"/>
              <w:rPr>
                <w:rFonts w:hint="eastAsia" w:ascii="宋体" w:hAnsi="宋体" w:eastAsia="宋体" w:cs="宋体"/>
                <w:i w:val="0"/>
                <w:color w:val="000000"/>
                <w:sz w:val="24"/>
                <w:szCs w:val="24"/>
                <w:u w:val="none"/>
              </w:rPr>
            </w:pPr>
          </w:p>
        </w:tc>
        <w:tc>
          <w:tcPr>
            <w:tcW w:w="838"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（六）</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其他</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处理</w:t>
            </w:r>
          </w:p>
        </w:tc>
        <w:tc>
          <w:tcPr>
            <w:tcW w:w="3446" w:type="dxa"/>
            <w:noWrap w:val="0"/>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１.申请人无正当理由逾期不补正、行政机关不再处理其政府信息公开申请</w:t>
            </w:r>
          </w:p>
        </w:tc>
        <w:tc>
          <w:tcPr>
            <w:tcW w:w="409"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39"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33"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33"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39"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16"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16"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67" w:type="dxa"/>
            <w:vMerge w:val="continue"/>
            <w:noWrap w:val="0"/>
            <w:vAlign w:val="center"/>
          </w:tcPr>
          <w:p>
            <w:pPr>
              <w:jc w:val="center"/>
              <w:rPr>
                <w:rFonts w:hint="eastAsia" w:ascii="宋体" w:hAnsi="宋体" w:eastAsia="宋体" w:cs="宋体"/>
                <w:i w:val="0"/>
                <w:color w:val="000000"/>
                <w:sz w:val="24"/>
                <w:szCs w:val="24"/>
                <w:u w:val="none"/>
              </w:rPr>
            </w:pPr>
          </w:p>
        </w:tc>
        <w:tc>
          <w:tcPr>
            <w:tcW w:w="838" w:type="dxa"/>
            <w:vMerge w:val="continue"/>
            <w:noWrap w:val="0"/>
            <w:vAlign w:val="center"/>
          </w:tcPr>
          <w:p>
            <w:pPr>
              <w:jc w:val="center"/>
              <w:rPr>
                <w:rFonts w:hint="eastAsia" w:ascii="宋体" w:hAnsi="宋体" w:eastAsia="宋体" w:cs="宋体"/>
                <w:i w:val="0"/>
                <w:color w:val="000000"/>
                <w:sz w:val="24"/>
                <w:szCs w:val="24"/>
                <w:u w:val="none"/>
              </w:rPr>
            </w:pPr>
          </w:p>
        </w:tc>
        <w:tc>
          <w:tcPr>
            <w:tcW w:w="3446" w:type="dxa"/>
            <w:noWrap w:val="0"/>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２.申请人逾期未按收费通知要求缴纳费用、行政机关不再处理其政府信息公开申请</w:t>
            </w:r>
          </w:p>
        </w:tc>
        <w:tc>
          <w:tcPr>
            <w:tcW w:w="409"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39"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33"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33"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39"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16"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16"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667" w:type="dxa"/>
            <w:vMerge w:val="continue"/>
            <w:noWrap w:val="0"/>
            <w:vAlign w:val="center"/>
          </w:tcPr>
          <w:p>
            <w:pPr>
              <w:jc w:val="center"/>
              <w:rPr>
                <w:rFonts w:hint="eastAsia" w:ascii="宋体" w:hAnsi="宋体" w:eastAsia="宋体" w:cs="宋体"/>
                <w:i w:val="0"/>
                <w:color w:val="000000"/>
                <w:sz w:val="24"/>
                <w:szCs w:val="24"/>
                <w:u w:val="none"/>
              </w:rPr>
            </w:pPr>
          </w:p>
        </w:tc>
        <w:tc>
          <w:tcPr>
            <w:tcW w:w="838" w:type="dxa"/>
            <w:vMerge w:val="continue"/>
            <w:noWrap w:val="0"/>
            <w:vAlign w:val="center"/>
          </w:tcPr>
          <w:p>
            <w:pPr>
              <w:jc w:val="center"/>
              <w:rPr>
                <w:rFonts w:hint="eastAsia" w:ascii="宋体" w:hAnsi="宋体" w:eastAsia="宋体" w:cs="宋体"/>
                <w:i w:val="0"/>
                <w:color w:val="000000"/>
                <w:sz w:val="24"/>
                <w:szCs w:val="24"/>
                <w:u w:val="none"/>
              </w:rPr>
            </w:pPr>
          </w:p>
        </w:tc>
        <w:tc>
          <w:tcPr>
            <w:tcW w:w="3446" w:type="dxa"/>
            <w:noWrap w:val="0"/>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３.其他</w:t>
            </w:r>
          </w:p>
        </w:tc>
        <w:tc>
          <w:tcPr>
            <w:tcW w:w="409"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39" w:type="dxa"/>
            <w:noWrap/>
            <w:vAlign w:val="center"/>
          </w:tcPr>
          <w:p>
            <w:pP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33"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33"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39"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16"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16"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67" w:type="dxa"/>
            <w:noWrap w:val="0"/>
            <w:vAlign w:val="center"/>
          </w:tcPr>
          <w:p>
            <w:pPr>
              <w:rPr>
                <w:rFonts w:hint="eastAsia" w:ascii="宋体" w:hAnsi="宋体" w:eastAsia="宋体" w:cs="宋体"/>
                <w:i w:val="0"/>
                <w:color w:val="000000"/>
                <w:sz w:val="24"/>
                <w:szCs w:val="24"/>
                <w:u w:val="none"/>
              </w:rPr>
            </w:pPr>
          </w:p>
        </w:tc>
        <w:tc>
          <w:tcPr>
            <w:tcW w:w="4284" w:type="dxa"/>
            <w:gridSpan w:val="2"/>
            <w:noWrap/>
            <w:vAlign w:val="center"/>
          </w:tcPr>
          <w:p>
            <w:pPr>
              <w:jc w:val="left"/>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（七)总计</w:t>
            </w:r>
          </w:p>
        </w:tc>
        <w:tc>
          <w:tcPr>
            <w:tcW w:w="409"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39"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33"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33"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39"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16"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16"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4951" w:type="dxa"/>
            <w:gridSpan w:val="3"/>
            <w:noWrap/>
            <w:vAlign w:val="center"/>
          </w:tcPr>
          <w:p>
            <w:pP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四、结转下年度继续办理</w:t>
            </w:r>
          </w:p>
        </w:tc>
        <w:tc>
          <w:tcPr>
            <w:tcW w:w="409"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39"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33"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33"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39"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16"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16" w:type="dxa"/>
            <w:noWrap/>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r>
    </w:tbl>
    <w:p>
      <w:pPr>
        <w:rPr>
          <w:rFonts w:hint="eastAsia" w:ascii="宋体" w:hAnsi="宋体" w:eastAsia="宋体" w:cs="宋体"/>
          <w:sz w:val="24"/>
          <w:szCs w:val="24"/>
        </w:rPr>
      </w:pPr>
    </w:p>
    <w:p>
      <w:pPr>
        <w:pStyle w:val="4"/>
        <w:keepNext w:val="0"/>
        <w:keepLines w:val="0"/>
        <w:widowControl/>
        <w:numPr>
          <w:numId w:val="0"/>
        </w:numPr>
        <w:suppressLineNumbers w:val="0"/>
        <w:ind w:firstLine="482" w:firstLineChars="200"/>
        <w:rPr>
          <w:rFonts w:hint="eastAsia" w:ascii="宋体" w:hAnsi="宋体" w:eastAsia="宋体" w:cs="宋体"/>
          <w:b/>
          <w:bCs/>
          <w:color w:val="000000"/>
          <w:sz w:val="24"/>
          <w:szCs w:val="24"/>
        </w:rPr>
      </w:pPr>
      <w:r>
        <w:rPr>
          <w:rFonts w:hint="eastAsia" w:cs="宋体"/>
          <w:b/>
          <w:bCs/>
          <w:color w:val="000000"/>
          <w:sz w:val="24"/>
          <w:szCs w:val="24"/>
          <w:lang w:eastAsia="zh-CN"/>
        </w:rPr>
        <w:t>四、</w:t>
      </w:r>
      <w:r>
        <w:rPr>
          <w:rFonts w:hint="eastAsia" w:ascii="宋体" w:hAnsi="宋体" w:eastAsia="宋体" w:cs="宋体"/>
          <w:b/>
          <w:bCs/>
          <w:color w:val="000000"/>
          <w:sz w:val="24"/>
          <w:szCs w:val="24"/>
        </w:rPr>
        <w:t>政府信息公开行政复议、行政诉讼情况</w:t>
      </w:r>
    </w:p>
    <w:p>
      <w:pPr>
        <w:pStyle w:val="4"/>
        <w:keepNext w:val="0"/>
        <w:keepLines w:val="0"/>
        <w:widowControl/>
        <w:numPr>
          <w:numId w:val="0"/>
        </w:numPr>
        <w:suppressLineNumbers w:val="0"/>
        <w:rPr>
          <w:rFonts w:hint="eastAsia" w:ascii="宋体" w:hAnsi="宋体" w:eastAsia="宋体" w:cs="宋体"/>
          <w:color w:val="000000"/>
          <w:sz w:val="24"/>
          <w:szCs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568"/>
        <w:gridCol w:w="568"/>
        <w:gridCol w:w="568"/>
        <w:gridCol w:w="568"/>
        <w:gridCol w:w="568"/>
        <w:gridCol w:w="568"/>
        <w:gridCol w:w="568"/>
        <w:gridCol w:w="568"/>
        <w:gridCol w:w="568"/>
        <w:gridCol w:w="568"/>
        <w:gridCol w:w="568"/>
        <w:gridCol w:w="568"/>
        <w:gridCol w:w="569"/>
        <w:gridCol w:w="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gridSpan w:val="5"/>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行政复议</w:t>
            </w:r>
          </w:p>
          <w:p>
            <w:pPr>
              <w:jc w:val="center"/>
              <w:rPr>
                <w:rFonts w:hint="eastAsia" w:ascii="宋体" w:hAnsi="宋体" w:eastAsia="宋体" w:cs="宋体"/>
                <w:sz w:val="24"/>
                <w:szCs w:val="24"/>
                <w:vertAlign w:val="baseline"/>
                <w:lang w:eastAsia="zh-CN"/>
              </w:rPr>
            </w:pPr>
          </w:p>
        </w:tc>
        <w:tc>
          <w:tcPr>
            <w:tcW w:w="5682" w:type="dxa"/>
            <w:gridSpan w:val="10"/>
            <w:noWrap w:val="0"/>
            <w:vAlign w:val="center"/>
          </w:tcPr>
          <w:p>
            <w:pPr>
              <w:pStyle w:val="4"/>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vertAlign w:val="baseline"/>
                <w:lang w:eastAsia="zh-CN"/>
              </w:rPr>
              <w:t>行政</w:t>
            </w:r>
            <w:r>
              <w:rPr>
                <w:rFonts w:hint="eastAsia" w:ascii="宋体" w:hAnsi="宋体" w:eastAsia="宋体" w:cs="宋体"/>
                <w:color w:val="000000"/>
                <w:sz w:val="24"/>
                <w:szCs w:val="24"/>
              </w:rPr>
              <w:t>诉讼</w:t>
            </w:r>
          </w:p>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568" w:type="dxa"/>
            <w:vMerge w:val="restart"/>
            <w:noWrap w:val="0"/>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结果维持</w:t>
            </w:r>
          </w:p>
        </w:tc>
        <w:tc>
          <w:tcPr>
            <w:tcW w:w="568" w:type="dxa"/>
            <w:vMerge w:val="restart"/>
            <w:noWrap w:val="0"/>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结果纠正</w:t>
            </w:r>
          </w:p>
        </w:tc>
        <w:tc>
          <w:tcPr>
            <w:tcW w:w="568" w:type="dxa"/>
            <w:vMerge w:val="restart"/>
            <w:noWrap w:val="0"/>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其他结果</w:t>
            </w:r>
          </w:p>
        </w:tc>
        <w:tc>
          <w:tcPr>
            <w:tcW w:w="568" w:type="dxa"/>
            <w:vMerge w:val="restart"/>
            <w:noWrap w:val="0"/>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尚未审结</w:t>
            </w:r>
          </w:p>
        </w:tc>
        <w:tc>
          <w:tcPr>
            <w:tcW w:w="568" w:type="dxa"/>
            <w:vMerge w:val="restart"/>
            <w:noWrap w:val="0"/>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总计</w:t>
            </w:r>
          </w:p>
        </w:tc>
        <w:tc>
          <w:tcPr>
            <w:tcW w:w="2840" w:type="dxa"/>
            <w:gridSpan w:val="5"/>
            <w:noWrap w:val="0"/>
            <w:vAlign w:val="center"/>
          </w:tcPr>
          <w:p>
            <w:pPr>
              <w:pStyle w:val="4"/>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color w:val="000000"/>
                <w:sz w:val="24"/>
                <w:szCs w:val="24"/>
              </w:rPr>
              <w:t>未经复议直接起诉</w:t>
            </w:r>
          </w:p>
          <w:p>
            <w:pPr>
              <w:jc w:val="center"/>
              <w:rPr>
                <w:rFonts w:hint="eastAsia" w:ascii="宋体" w:hAnsi="宋体" w:eastAsia="宋体" w:cs="宋体"/>
                <w:sz w:val="24"/>
                <w:szCs w:val="24"/>
                <w:vertAlign w:val="baseline"/>
              </w:rPr>
            </w:pPr>
          </w:p>
        </w:tc>
        <w:tc>
          <w:tcPr>
            <w:tcW w:w="2842" w:type="dxa"/>
            <w:gridSpan w:val="5"/>
            <w:noWrap w:val="0"/>
            <w:vAlign w:val="center"/>
          </w:tcPr>
          <w:p>
            <w:pPr>
              <w:pStyle w:val="4"/>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color w:val="000000"/>
                <w:sz w:val="24"/>
                <w:szCs w:val="24"/>
              </w:rPr>
              <w:t>复议后起诉</w:t>
            </w:r>
          </w:p>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568" w:type="dxa"/>
            <w:vMerge w:val="continue"/>
            <w:noWrap w:val="0"/>
            <w:vAlign w:val="center"/>
          </w:tcPr>
          <w:p>
            <w:pPr>
              <w:jc w:val="center"/>
              <w:rPr>
                <w:rFonts w:hint="eastAsia" w:ascii="宋体" w:hAnsi="宋体" w:eastAsia="宋体" w:cs="宋体"/>
                <w:sz w:val="24"/>
                <w:szCs w:val="24"/>
                <w:vertAlign w:val="baseline"/>
              </w:rPr>
            </w:pPr>
          </w:p>
        </w:tc>
        <w:tc>
          <w:tcPr>
            <w:tcW w:w="568" w:type="dxa"/>
            <w:vMerge w:val="continue"/>
            <w:noWrap w:val="0"/>
            <w:vAlign w:val="center"/>
          </w:tcPr>
          <w:p>
            <w:pPr>
              <w:jc w:val="center"/>
              <w:rPr>
                <w:rFonts w:hint="eastAsia" w:ascii="宋体" w:hAnsi="宋体" w:eastAsia="宋体" w:cs="宋体"/>
                <w:sz w:val="24"/>
                <w:szCs w:val="24"/>
                <w:vertAlign w:val="baseline"/>
              </w:rPr>
            </w:pPr>
          </w:p>
        </w:tc>
        <w:tc>
          <w:tcPr>
            <w:tcW w:w="568" w:type="dxa"/>
            <w:vMerge w:val="continue"/>
            <w:noWrap w:val="0"/>
            <w:vAlign w:val="center"/>
          </w:tcPr>
          <w:p>
            <w:pPr>
              <w:jc w:val="center"/>
              <w:rPr>
                <w:rFonts w:hint="eastAsia" w:ascii="宋体" w:hAnsi="宋体" w:eastAsia="宋体" w:cs="宋体"/>
                <w:sz w:val="24"/>
                <w:szCs w:val="24"/>
                <w:vertAlign w:val="baseline"/>
              </w:rPr>
            </w:pPr>
          </w:p>
        </w:tc>
        <w:tc>
          <w:tcPr>
            <w:tcW w:w="568" w:type="dxa"/>
            <w:vMerge w:val="continue"/>
            <w:noWrap w:val="0"/>
            <w:vAlign w:val="center"/>
          </w:tcPr>
          <w:p>
            <w:pPr>
              <w:jc w:val="center"/>
              <w:rPr>
                <w:rFonts w:hint="eastAsia" w:ascii="宋体" w:hAnsi="宋体" w:eastAsia="宋体" w:cs="宋体"/>
                <w:sz w:val="24"/>
                <w:szCs w:val="24"/>
                <w:vertAlign w:val="baseline"/>
              </w:rPr>
            </w:pPr>
          </w:p>
        </w:tc>
        <w:tc>
          <w:tcPr>
            <w:tcW w:w="568" w:type="dxa"/>
            <w:vMerge w:val="continue"/>
            <w:noWrap w:val="0"/>
            <w:vAlign w:val="center"/>
          </w:tcPr>
          <w:p>
            <w:pPr>
              <w:jc w:val="center"/>
              <w:rPr>
                <w:rFonts w:hint="eastAsia" w:ascii="宋体" w:hAnsi="宋体" w:eastAsia="宋体" w:cs="宋体"/>
                <w:sz w:val="24"/>
                <w:szCs w:val="24"/>
                <w:vertAlign w:val="baseline"/>
              </w:rPr>
            </w:pPr>
          </w:p>
        </w:tc>
        <w:tc>
          <w:tcPr>
            <w:tcW w:w="568" w:type="dxa"/>
            <w:noWrap w:val="0"/>
            <w:vAlign w:val="center"/>
          </w:tcPr>
          <w:p>
            <w:p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eastAsia="zh-CN"/>
              </w:rPr>
              <w:t>结果维持</w:t>
            </w:r>
          </w:p>
        </w:tc>
        <w:tc>
          <w:tcPr>
            <w:tcW w:w="568" w:type="dxa"/>
            <w:noWrap w:val="0"/>
            <w:vAlign w:val="center"/>
          </w:tcPr>
          <w:p>
            <w:p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eastAsia="zh-CN"/>
              </w:rPr>
              <w:t>结果纠正</w:t>
            </w:r>
          </w:p>
        </w:tc>
        <w:tc>
          <w:tcPr>
            <w:tcW w:w="568" w:type="dxa"/>
            <w:noWrap w:val="0"/>
            <w:vAlign w:val="center"/>
          </w:tcPr>
          <w:p>
            <w:p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eastAsia="zh-CN"/>
              </w:rPr>
              <w:t>其他结果</w:t>
            </w:r>
          </w:p>
        </w:tc>
        <w:tc>
          <w:tcPr>
            <w:tcW w:w="568" w:type="dxa"/>
            <w:noWrap w:val="0"/>
            <w:vAlign w:val="center"/>
          </w:tcPr>
          <w:p>
            <w:p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eastAsia="zh-CN"/>
              </w:rPr>
              <w:t>尚未审结</w:t>
            </w:r>
          </w:p>
        </w:tc>
        <w:tc>
          <w:tcPr>
            <w:tcW w:w="568" w:type="dxa"/>
            <w:noWrap w:val="0"/>
            <w:vAlign w:val="center"/>
          </w:tcPr>
          <w:p>
            <w:p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eastAsia="zh-CN"/>
              </w:rPr>
              <w:t>总计</w:t>
            </w:r>
          </w:p>
        </w:tc>
        <w:tc>
          <w:tcPr>
            <w:tcW w:w="568" w:type="dxa"/>
            <w:noWrap w:val="0"/>
            <w:vAlign w:val="center"/>
          </w:tcPr>
          <w:p>
            <w:pPr>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eastAsia="zh-CN"/>
              </w:rPr>
              <w:t>结果维持</w:t>
            </w:r>
          </w:p>
        </w:tc>
        <w:tc>
          <w:tcPr>
            <w:tcW w:w="568" w:type="dxa"/>
            <w:noWrap w:val="0"/>
            <w:vAlign w:val="center"/>
          </w:tcPr>
          <w:p>
            <w:pPr>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eastAsia="zh-CN"/>
              </w:rPr>
              <w:t>结果纠正</w:t>
            </w:r>
          </w:p>
        </w:tc>
        <w:tc>
          <w:tcPr>
            <w:tcW w:w="568" w:type="dxa"/>
            <w:noWrap w:val="0"/>
            <w:vAlign w:val="center"/>
          </w:tcPr>
          <w:p>
            <w:pPr>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eastAsia="zh-CN"/>
              </w:rPr>
              <w:t>其他结果</w:t>
            </w:r>
          </w:p>
        </w:tc>
        <w:tc>
          <w:tcPr>
            <w:tcW w:w="569" w:type="dxa"/>
            <w:noWrap w:val="0"/>
            <w:vAlign w:val="center"/>
          </w:tcPr>
          <w:p>
            <w:pPr>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eastAsia="zh-CN"/>
              </w:rPr>
              <w:t>尚未审结</w:t>
            </w:r>
          </w:p>
        </w:tc>
        <w:tc>
          <w:tcPr>
            <w:tcW w:w="569" w:type="dxa"/>
            <w:noWrap w:val="0"/>
            <w:vAlign w:val="center"/>
          </w:tcPr>
          <w:p>
            <w:pPr>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eastAsia="zh-CN"/>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568"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0</w:t>
            </w:r>
          </w:p>
        </w:tc>
        <w:tc>
          <w:tcPr>
            <w:tcW w:w="568"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0</w:t>
            </w:r>
          </w:p>
        </w:tc>
        <w:tc>
          <w:tcPr>
            <w:tcW w:w="568"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0</w:t>
            </w:r>
          </w:p>
        </w:tc>
        <w:tc>
          <w:tcPr>
            <w:tcW w:w="568"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0</w:t>
            </w:r>
          </w:p>
        </w:tc>
        <w:tc>
          <w:tcPr>
            <w:tcW w:w="568"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0</w:t>
            </w:r>
          </w:p>
        </w:tc>
        <w:tc>
          <w:tcPr>
            <w:tcW w:w="568"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0</w:t>
            </w:r>
          </w:p>
        </w:tc>
        <w:tc>
          <w:tcPr>
            <w:tcW w:w="568"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0</w:t>
            </w:r>
          </w:p>
        </w:tc>
        <w:tc>
          <w:tcPr>
            <w:tcW w:w="568"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0</w:t>
            </w:r>
          </w:p>
        </w:tc>
        <w:tc>
          <w:tcPr>
            <w:tcW w:w="568"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0</w:t>
            </w:r>
          </w:p>
        </w:tc>
        <w:tc>
          <w:tcPr>
            <w:tcW w:w="568"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0</w:t>
            </w:r>
          </w:p>
        </w:tc>
        <w:tc>
          <w:tcPr>
            <w:tcW w:w="568"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0</w:t>
            </w:r>
          </w:p>
        </w:tc>
        <w:tc>
          <w:tcPr>
            <w:tcW w:w="568"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0</w:t>
            </w:r>
          </w:p>
        </w:tc>
        <w:tc>
          <w:tcPr>
            <w:tcW w:w="568"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0</w:t>
            </w:r>
          </w:p>
        </w:tc>
        <w:tc>
          <w:tcPr>
            <w:tcW w:w="569"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0</w:t>
            </w:r>
          </w:p>
        </w:tc>
        <w:tc>
          <w:tcPr>
            <w:tcW w:w="569"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0</w:t>
            </w:r>
          </w:p>
        </w:tc>
      </w:tr>
    </w:tbl>
    <w:p>
      <w:pPr>
        <w:pStyle w:val="5"/>
        <w:widowControl/>
        <w:spacing w:beforeAutospacing="0" w:afterAutospacing="0" w:line="360" w:lineRule="auto"/>
        <w:jc w:val="both"/>
        <w:rPr>
          <w:rStyle w:val="9"/>
          <w:rFonts w:cs="微软雅黑" w:asciiTheme="minorEastAsia" w:hAnsiTheme="minorEastAsia"/>
          <w:b w:val="0"/>
          <w:bCs/>
          <w:spacing w:val="8"/>
        </w:rPr>
      </w:pPr>
      <w:bookmarkStart w:id="0" w:name="_GoBack"/>
      <w:bookmarkEnd w:id="0"/>
    </w:p>
    <w:p>
      <w:pPr>
        <w:pStyle w:val="5"/>
        <w:widowControl/>
        <w:spacing w:beforeAutospacing="0" w:afterAutospacing="0" w:line="480" w:lineRule="exact"/>
        <w:ind w:firstLine="514" w:firstLineChars="200"/>
        <w:jc w:val="both"/>
        <w:rPr>
          <w:rStyle w:val="9"/>
          <w:rFonts w:asciiTheme="minorEastAsia" w:hAnsiTheme="minorEastAsia"/>
        </w:rPr>
      </w:pPr>
      <w:r>
        <w:rPr>
          <w:rStyle w:val="9"/>
          <w:rFonts w:hint="eastAsia" w:cs="微软雅黑" w:asciiTheme="minorEastAsia" w:hAnsiTheme="minorEastAsia"/>
          <w:spacing w:val="8"/>
        </w:rPr>
        <w:t>五、存在的主要问题及改进情况</w:t>
      </w:r>
    </w:p>
    <w:p>
      <w:pPr>
        <w:spacing w:line="480" w:lineRule="exact"/>
        <w:rPr>
          <w:rFonts w:asciiTheme="minorEastAsia" w:hAnsiTheme="minorEastAsia"/>
          <w:sz w:val="24"/>
        </w:rPr>
      </w:pPr>
      <w:r>
        <w:rPr>
          <w:rFonts w:hint="eastAsia" w:ascii="微软雅黑" w:hAnsi="微软雅黑" w:eastAsia="微软雅黑" w:cs="微软雅黑"/>
          <w:spacing w:val="8"/>
          <w:sz w:val="27"/>
          <w:szCs w:val="27"/>
        </w:rPr>
        <w:t>　</w:t>
      </w:r>
      <w:r>
        <w:rPr>
          <w:rFonts w:hint="eastAsia" w:cs="微软雅黑" w:asciiTheme="minorEastAsia" w:hAnsiTheme="minorEastAsia"/>
          <w:spacing w:val="8"/>
          <w:sz w:val="24"/>
        </w:rPr>
        <w:t>　</w:t>
      </w:r>
      <w:r>
        <w:rPr>
          <w:rFonts w:hint="eastAsia" w:asciiTheme="minorEastAsia" w:hAnsiTheme="minorEastAsia"/>
          <w:sz w:val="24"/>
        </w:rPr>
        <w:t>相比20</w:t>
      </w:r>
      <w:r>
        <w:rPr>
          <w:rFonts w:hint="eastAsia" w:asciiTheme="minorEastAsia" w:hAnsiTheme="minorEastAsia"/>
          <w:sz w:val="24"/>
          <w:lang w:val="en-US" w:eastAsia="zh-CN"/>
        </w:rPr>
        <w:t>20</w:t>
      </w:r>
      <w:r>
        <w:rPr>
          <w:rFonts w:hint="eastAsia" w:asciiTheme="minorEastAsia" w:hAnsiTheme="minorEastAsia"/>
          <w:sz w:val="24"/>
        </w:rPr>
        <w:t>年度数据有部分提高，但仍存在不足。</w:t>
      </w:r>
      <w:r>
        <w:rPr>
          <w:rFonts w:hint="eastAsia" w:asciiTheme="minorEastAsia" w:hAnsiTheme="minorEastAsia"/>
          <w:b/>
          <w:sz w:val="24"/>
        </w:rPr>
        <w:t>一是</w:t>
      </w:r>
      <w:r>
        <w:rPr>
          <w:rFonts w:hint="eastAsia" w:asciiTheme="minorEastAsia" w:hAnsiTheme="minorEastAsia"/>
          <w:sz w:val="24"/>
        </w:rPr>
        <w:t>有的信息公开不够及时、全面。</w:t>
      </w:r>
      <w:r>
        <w:rPr>
          <w:rFonts w:hint="eastAsia" w:asciiTheme="minorEastAsia" w:hAnsiTheme="minorEastAsia"/>
          <w:b/>
          <w:sz w:val="24"/>
        </w:rPr>
        <w:t>二是</w:t>
      </w:r>
      <w:r>
        <w:rPr>
          <w:rFonts w:hint="eastAsia" w:asciiTheme="minorEastAsia" w:hAnsiTheme="minorEastAsia"/>
          <w:sz w:val="24"/>
        </w:rPr>
        <w:t>政务公开工作开展不平衡，个别科室、直属单位对政务公开工作认识不足、重视不够，工作中存在“公开就是公布”的理解误区，对群众关心的热点问题，公开得不够到位。</w:t>
      </w:r>
      <w:r>
        <w:rPr>
          <w:rFonts w:hint="eastAsia" w:asciiTheme="minorEastAsia" w:hAnsiTheme="minorEastAsia"/>
          <w:b/>
          <w:sz w:val="24"/>
        </w:rPr>
        <w:t>三是</w:t>
      </w:r>
      <w:r>
        <w:rPr>
          <w:rFonts w:hint="eastAsia" w:asciiTheme="minorEastAsia" w:hAnsiTheme="minorEastAsia"/>
          <w:sz w:val="24"/>
        </w:rPr>
        <w:t>对政务公开工作的拓展不够，通过政务微博公开信息还有待加强。</w:t>
      </w:r>
    </w:p>
    <w:p>
      <w:pPr>
        <w:pStyle w:val="5"/>
        <w:widowControl/>
        <w:spacing w:beforeAutospacing="0" w:afterAutospacing="0" w:line="480" w:lineRule="exact"/>
        <w:ind w:firstLine="514" w:firstLineChars="200"/>
        <w:jc w:val="both"/>
        <w:rPr>
          <w:rStyle w:val="9"/>
          <w:rFonts w:asciiTheme="minorEastAsia" w:hAnsiTheme="minorEastAsia"/>
        </w:rPr>
      </w:pPr>
      <w:r>
        <w:rPr>
          <w:rStyle w:val="9"/>
          <w:rFonts w:hint="eastAsia" w:cs="微软雅黑" w:asciiTheme="minorEastAsia" w:hAnsiTheme="minorEastAsia"/>
          <w:spacing w:val="8"/>
        </w:rPr>
        <w:t>六、其他需要报告的事项</w:t>
      </w:r>
    </w:p>
    <w:p>
      <w:pPr>
        <w:spacing w:line="480" w:lineRule="exact"/>
        <w:ind w:firstLine="482" w:firstLineChars="200"/>
        <w:rPr>
          <w:rFonts w:asciiTheme="minorEastAsia" w:hAnsiTheme="minorEastAsia"/>
          <w:b/>
          <w:sz w:val="24"/>
        </w:rPr>
      </w:pPr>
      <w:r>
        <w:rPr>
          <w:rFonts w:hint="eastAsia" w:asciiTheme="minorEastAsia" w:hAnsiTheme="minorEastAsia"/>
          <w:b/>
          <w:sz w:val="24"/>
        </w:rPr>
        <w:t>（一）政府信息公开工作机构和人员设置情况</w:t>
      </w:r>
    </w:p>
    <w:p>
      <w:pPr>
        <w:spacing w:line="480" w:lineRule="exact"/>
        <w:rPr>
          <w:rFonts w:asciiTheme="minorEastAsia" w:hAnsiTheme="minorEastAsia"/>
          <w:sz w:val="24"/>
        </w:rPr>
      </w:pPr>
      <w:r>
        <w:rPr>
          <w:rFonts w:hint="eastAsia" w:asciiTheme="minorEastAsia" w:hAnsiTheme="minorEastAsia"/>
          <w:sz w:val="24"/>
        </w:rPr>
        <w:t>　　</w:t>
      </w:r>
      <w:r>
        <w:rPr>
          <w:rFonts w:hint="eastAsia" w:asciiTheme="minorEastAsia" w:hAnsiTheme="minorEastAsia"/>
          <w:sz w:val="24"/>
          <w:lang w:eastAsia="zh-CN"/>
        </w:rPr>
        <w:t>2021年</w:t>
      </w:r>
      <w:r>
        <w:rPr>
          <w:rFonts w:hint="eastAsia" w:asciiTheme="minorEastAsia" w:hAnsiTheme="minorEastAsia"/>
          <w:sz w:val="24"/>
        </w:rPr>
        <w:t>，我局按照市政数局关于政务公开工作的部署要求，扎实、有序推进信息公开工作。根据人员变动，调整充实由主要领导任组长，分管领导为副组长，相关科室负责同志为成员的领导小组，并下设办公室，办公室设在局办公室，由局办公室一名同志具体负责信息公开工作的组织和协调，负责上网公开信息的编辑发布工作。在此基础之上，规范政府信息公开目录，做到目录内容与网上信息的一致性，规范信息公开流程，加强对政府信息公开工作的监督工作，把政府信息公开工作作为一项重要工作常抓不懈。</w:t>
      </w:r>
    </w:p>
    <w:p>
      <w:pPr>
        <w:spacing w:line="480" w:lineRule="exact"/>
        <w:ind w:firstLine="482" w:firstLineChars="200"/>
        <w:rPr>
          <w:rFonts w:asciiTheme="minorEastAsia" w:hAnsiTheme="minorEastAsia"/>
          <w:b/>
          <w:sz w:val="24"/>
        </w:rPr>
      </w:pPr>
      <w:r>
        <w:rPr>
          <w:rFonts w:hint="eastAsia" w:asciiTheme="minorEastAsia" w:hAnsiTheme="minorEastAsia"/>
          <w:b/>
          <w:sz w:val="24"/>
        </w:rPr>
        <w:t>（二）政府信息公开工作人员培训情况</w:t>
      </w:r>
    </w:p>
    <w:p>
      <w:pPr>
        <w:spacing w:line="480" w:lineRule="exact"/>
        <w:ind w:firstLine="630"/>
        <w:rPr>
          <w:rFonts w:asciiTheme="minorEastAsia" w:hAnsiTheme="minorEastAsia"/>
          <w:sz w:val="24"/>
        </w:rPr>
      </w:pPr>
      <w:r>
        <w:rPr>
          <w:rFonts w:hint="eastAsia" w:asciiTheme="minorEastAsia" w:hAnsiTheme="minorEastAsia"/>
          <w:sz w:val="24"/>
          <w:lang w:eastAsia="zh-CN"/>
        </w:rPr>
        <w:t>2021年</w:t>
      </w:r>
      <w:r>
        <w:rPr>
          <w:rFonts w:hint="eastAsia" w:asciiTheme="minorEastAsia" w:hAnsiTheme="minorEastAsia"/>
          <w:sz w:val="24"/>
        </w:rPr>
        <w:t>对教育局各科室和直属单位培训一次，培训内容为《政府信息公开条例》，通过学习，有效提高了岗位工作人员的素质。</w:t>
      </w:r>
    </w:p>
    <w:p>
      <w:pPr>
        <w:spacing w:line="480" w:lineRule="exact"/>
        <w:ind w:firstLine="472" w:firstLineChars="196"/>
        <w:rPr>
          <w:rFonts w:asciiTheme="minorEastAsia" w:hAnsiTheme="minorEastAsia"/>
          <w:b/>
          <w:sz w:val="24"/>
        </w:rPr>
      </w:pPr>
      <w:r>
        <w:rPr>
          <w:rFonts w:hint="eastAsia" w:asciiTheme="minorEastAsia" w:hAnsiTheme="minorEastAsia"/>
          <w:b/>
          <w:sz w:val="24"/>
        </w:rPr>
        <w:t>（三）建立健全政府信息公开工作制度情况</w:t>
      </w:r>
    </w:p>
    <w:p>
      <w:pPr>
        <w:spacing w:line="480" w:lineRule="exact"/>
        <w:rPr>
          <w:rFonts w:asciiTheme="minorEastAsia" w:hAnsiTheme="minorEastAsia"/>
          <w:sz w:val="24"/>
        </w:rPr>
      </w:pPr>
      <w:r>
        <w:rPr>
          <w:rFonts w:hint="eastAsia" w:asciiTheme="minorEastAsia" w:hAnsiTheme="minorEastAsia"/>
          <w:sz w:val="24"/>
        </w:rPr>
        <w:t>　　认真健全信息公开工作制度。成立市教育局信息发布工作小组，完善公开属性源头认定工作、主动公开及依申请公开等信息公开制度，配套完善了政府信息公开保密审查等相应的制度，形成以制度推进工作，有章可循、责任明确、分工协作、思想统一的信息公开工作局面。</w:t>
      </w:r>
    </w:p>
    <w:p>
      <w:pPr>
        <w:spacing w:line="480" w:lineRule="exact"/>
        <w:ind w:firstLine="482" w:firstLineChars="200"/>
        <w:rPr>
          <w:rFonts w:asciiTheme="minorEastAsia" w:hAnsiTheme="minorEastAsia"/>
          <w:b/>
          <w:sz w:val="24"/>
        </w:rPr>
      </w:pPr>
      <w:r>
        <w:rPr>
          <w:rFonts w:hint="eastAsia" w:asciiTheme="minorEastAsia" w:hAnsiTheme="minorEastAsia"/>
          <w:b/>
          <w:sz w:val="24"/>
        </w:rPr>
        <w:t>（四）公开渠道建设情况</w:t>
      </w:r>
    </w:p>
    <w:p>
      <w:pPr>
        <w:spacing w:line="480" w:lineRule="exact"/>
        <w:rPr>
          <w:rFonts w:asciiTheme="minorEastAsia" w:hAnsiTheme="minorEastAsia"/>
          <w:sz w:val="24"/>
        </w:rPr>
      </w:pPr>
      <w:r>
        <w:rPr>
          <w:rFonts w:hint="eastAsia" w:asciiTheme="minorEastAsia" w:hAnsiTheme="minorEastAsia"/>
          <w:sz w:val="24"/>
        </w:rPr>
        <w:t>　  1、公开形式。将主动公开的政府信息，通过政府网站、新闻发布会、报纸、广播、电视及市政务服务中心公开查阅点等多种渠道公开。</w:t>
      </w:r>
    </w:p>
    <w:p>
      <w:pPr>
        <w:spacing w:line="480" w:lineRule="exact"/>
        <w:rPr>
          <w:rFonts w:asciiTheme="minorEastAsia" w:hAnsiTheme="minorEastAsia"/>
          <w:sz w:val="24"/>
        </w:rPr>
      </w:pPr>
      <w:r>
        <w:rPr>
          <w:rFonts w:hint="eastAsia" w:asciiTheme="minorEastAsia" w:hAnsiTheme="minorEastAsia"/>
          <w:sz w:val="24"/>
        </w:rPr>
        <w:t>　　2、信息公开专栏情况。在门户网站建立了政务公开专栏， 2014年至</w:t>
      </w:r>
      <w:r>
        <w:rPr>
          <w:rFonts w:hint="eastAsia" w:asciiTheme="minorEastAsia" w:hAnsiTheme="minorEastAsia"/>
          <w:sz w:val="24"/>
          <w:lang w:eastAsia="zh-CN"/>
        </w:rPr>
        <w:t>2021年</w:t>
      </w:r>
      <w:r>
        <w:rPr>
          <w:rFonts w:hint="eastAsia" w:asciiTheme="minorEastAsia" w:hAnsiTheme="minorEastAsia"/>
          <w:sz w:val="24"/>
        </w:rPr>
        <w:t>的政府信息公开年度报告都已发布在政府信息公开专网。</w:t>
      </w:r>
    </w:p>
    <w:p>
      <w:pPr>
        <w:spacing w:line="480" w:lineRule="exact"/>
        <w:rPr>
          <w:rFonts w:asciiTheme="minorEastAsia" w:hAnsiTheme="minorEastAsia"/>
          <w:sz w:val="24"/>
        </w:rPr>
      </w:pPr>
      <w:r>
        <w:rPr>
          <w:rFonts w:hint="eastAsia" w:asciiTheme="minorEastAsia" w:hAnsiTheme="minorEastAsia"/>
          <w:sz w:val="24"/>
        </w:rPr>
        <w:t>　　3、畅通公开渠道。在教育局网站、政府信息公开专网、白山教育信息网上发布入托、入学、招生等教育信息，拓宽了信息公开的渠道。</w:t>
      </w:r>
    </w:p>
    <w:p>
      <w:pPr>
        <w:spacing w:line="480" w:lineRule="exact"/>
        <w:ind w:firstLine="472" w:firstLineChars="196"/>
        <w:rPr>
          <w:rFonts w:asciiTheme="minorEastAsia" w:hAnsiTheme="minorEastAsia"/>
          <w:b/>
          <w:sz w:val="24"/>
        </w:rPr>
      </w:pPr>
      <w:r>
        <w:rPr>
          <w:rFonts w:hint="eastAsia" w:asciiTheme="minorEastAsia" w:hAnsiTheme="minorEastAsia"/>
          <w:b/>
          <w:sz w:val="24"/>
        </w:rPr>
        <w:t>（五）政府信息公开目录、公开指南的编制、更新情况</w:t>
      </w:r>
    </w:p>
    <w:p>
      <w:pPr>
        <w:spacing w:line="480" w:lineRule="exact"/>
        <w:ind w:firstLine="645"/>
        <w:rPr>
          <w:rFonts w:asciiTheme="minorEastAsia" w:hAnsiTheme="minorEastAsia"/>
          <w:b/>
          <w:sz w:val="24"/>
        </w:rPr>
      </w:pPr>
      <w:r>
        <w:rPr>
          <w:rFonts w:hint="eastAsia" w:asciiTheme="minorEastAsia" w:hAnsiTheme="minorEastAsia"/>
          <w:sz w:val="24"/>
          <w:lang w:eastAsia="zh-CN"/>
        </w:rPr>
        <w:t>2021年</w:t>
      </w:r>
      <w:r>
        <w:rPr>
          <w:rFonts w:hint="eastAsia" w:asciiTheme="minorEastAsia" w:hAnsiTheme="minorEastAsia"/>
          <w:sz w:val="24"/>
        </w:rPr>
        <w:t>，我局按照政务服务、政务公开、政府信息公开的要求，凡是要求公开的政府信息、办事指南等全部公开。认真做好政府民户网站的维护管理，设置领导简介、机构主要职责、内设机构设置、工作动态、政务公告、政务信息等栏目，并及时更新各栏目动态。</w:t>
      </w:r>
    </w:p>
    <w:p>
      <w:pPr>
        <w:pStyle w:val="5"/>
        <w:widowControl/>
        <w:spacing w:beforeAutospacing="0" w:afterAutospacing="0" w:line="480" w:lineRule="exact"/>
        <w:jc w:val="both"/>
        <w:rPr>
          <w:rFonts w:asciiTheme="minorEastAsia" w:hAnsiTheme="minorEastAsia"/>
        </w:rPr>
      </w:pPr>
    </w:p>
    <w:p>
      <w:pPr>
        <w:pStyle w:val="5"/>
        <w:widowControl/>
        <w:spacing w:beforeAutospacing="0" w:afterAutospacing="0" w:line="480" w:lineRule="exact"/>
        <w:ind w:right="320"/>
        <w:jc w:val="right"/>
        <w:rPr>
          <w:rFonts w:asciiTheme="minorEastAsia" w:hAnsiTheme="minorEastAsia" w:cstheme="minorBidi"/>
          <w:kern w:val="2"/>
        </w:rPr>
      </w:pPr>
      <w:r>
        <w:rPr>
          <w:rFonts w:hint="eastAsia" w:asciiTheme="minorEastAsia" w:hAnsiTheme="minorEastAsia" w:cstheme="minorBidi"/>
          <w:kern w:val="2"/>
        </w:rPr>
        <w:t>白山市教育局</w:t>
      </w:r>
    </w:p>
    <w:p>
      <w:pPr>
        <w:pStyle w:val="5"/>
        <w:widowControl/>
        <w:spacing w:beforeAutospacing="0" w:afterAutospacing="0" w:line="480" w:lineRule="exact"/>
        <w:jc w:val="right"/>
        <w:rPr>
          <w:rFonts w:asciiTheme="minorEastAsia" w:hAnsiTheme="minorEastAsia" w:cstheme="minorBidi"/>
          <w:kern w:val="2"/>
        </w:rPr>
      </w:pPr>
      <w:r>
        <w:rPr>
          <w:rFonts w:hint="eastAsia" w:asciiTheme="minorEastAsia" w:hAnsiTheme="minorEastAsia" w:cstheme="minorBidi"/>
          <w:kern w:val="2"/>
          <w:lang w:eastAsia="zh-CN"/>
        </w:rPr>
        <w:t>2021年</w:t>
      </w:r>
      <w:r>
        <w:rPr>
          <w:rFonts w:hint="eastAsia" w:asciiTheme="minorEastAsia" w:hAnsiTheme="minorEastAsia" w:cstheme="minorBidi"/>
          <w:kern w:val="2"/>
        </w:rPr>
        <w:t>12月31日</w:t>
      </w:r>
    </w:p>
    <w:p>
      <w:pPr>
        <w:pStyle w:val="5"/>
        <w:widowControl/>
        <w:spacing w:beforeAutospacing="0" w:afterAutospacing="0" w:line="480" w:lineRule="exact"/>
        <w:jc w:val="right"/>
        <w:rPr>
          <w:rFonts w:asciiTheme="minorEastAsia" w:hAnsiTheme="minorEastAsia" w:cstheme="minorBidi"/>
          <w:kern w:val="2"/>
        </w:rPr>
      </w:pP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FZHei-B01">
    <w:altName w:val="宋体"/>
    <w:panose1 w:val="02000000000000000000"/>
    <w:charset w:val="86"/>
    <w:family w:val="auto"/>
    <w:pitch w:val="default"/>
    <w:sig w:usb0="00000000" w:usb1="00000000" w:usb2="00000000" w:usb3="00000000" w:csb0="00040000" w:csb1="00000000"/>
  </w:font>
  <w:font w:name="DY16 + ZKbFbU-16 + g">
    <w:altName w:val="仿宋"/>
    <w:panose1 w:val="00000000000000000000"/>
    <w:charset w:val="00"/>
    <w:family w:val="auto"/>
    <w:pitch w:val="default"/>
    <w:sig w:usb0="00000000" w:usb1="00000000" w:usb2="00000000" w:usb3="00000000" w:csb0="00040001" w:csb1="00000000"/>
  </w:font>
  <w:font w:name="FZShuSong-Z01">
    <w:altName w:val="宋体"/>
    <w:panose1 w:val="02000000000000000000"/>
    <w:charset w:val="86"/>
    <w:family w:val="auto"/>
    <w:pitch w:val="default"/>
    <w:sig w:usb0="00000000" w:usb1="00000000" w:usb2="00000000" w:usb3="00000000" w:csb0="00040000" w:csb1="00000000"/>
  </w:font>
  <w:font w:name="DY15 + ZKbFbU-15 + f">
    <w:altName w:val="仿宋"/>
    <w:panose1 w:val="00000000000000000000"/>
    <w:charset w:val="00"/>
    <w:family w:val="auto"/>
    <w:pitch w:val="default"/>
    <w:sig w:usb0="00000000" w:usb1="00000000" w:usb2="00000000" w:usb3="00000000" w:csb0="00040001" w:csb1="00000000"/>
  </w:font>
  <w:font w:name="DY19 + ZKbFbV-19 + j">
    <w:altName w:val="仿宋"/>
    <w:panose1 w:val="00000000000000000000"/>
    <w:charset w:val="00"/>
    <w:family w:val="auto"/>
    <w:pitch w:val="default"/>
    <w:sig w:usb0="00000000" w:usb1="00000000" w:usb2="00000000" w:usb3="00000000" w:csb0="00040001" w:csb1="00000000"/>
  </w:font>
  <w:font w:name="DY22 + ZKbFbV-22 + 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C35017"/>
    <w:multiLevelType w:val="singleLevel"/>
    <w:tmpl w:val="A9C3501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20ED5FC0"/>
    <w:rsid w:val="000607D1"/>
    <w:rsid w:val="00061F0D"/>
    <w:rsid w:val="000C5C86"/>
    <w:rsid w:val="000F357E"/>
    <w:rsid w:val="00131A3A"/>
    <w:rsid w:val="00153A52"/>
    <w:rsid w:val="00153E4D"/>
    <w:rsid w:val="001D788B"/>
    <w:rsid w:val="00265BAC"/>
    <w:rsid w:val="002B5CD9"/>
    <w:rsid w:val="002E6FBD"/>
    <w:rsid w:val="00323C13"/>
    <w:rsid w:val="00365339"/>
    <w:rsid w:val="00393EE4"/>
    <w:rsid w:val="004366D7"/>
    <w:rsid w:val="004830EE"/>
    <w:rsid w:val="004A251A"/>
    <w:rsid w:val="004A658A"/>
    <w:rsid w:val="004B0D4F"/>
    <w:rsid w:val="004D6D1F"/>
    <w:rsid w:val="00537A74"/>
    <w:rsid w:val="005404C4"/>
    <w:rsid w:val="005438BF"/>
    <w:rsid w:val="00597D27"/>
    <w:rsid w:val="005C176A"/>
    <w:rsid w:val="005E33CD"/>
    <w:rsid w:val="0067561C"/>
    <w:rsid w:val="006A0F73"/>
    <w:rsid w:val="006E0485"/>
    <w:rsid w:val="00700666"/>
    <w:rsid w:val="00716DD3"/>
    <w:rsid w:val="007F7317"/>
    <w:rsid w:val="00810B5D"/>
    <w:rsid w:val="00823458"/>
    <w:rsid w:val="00871F08"/>
    <w:rsid w:val="008C3B9E"/>
    <w:rsid w:val="009048FB"/>
    <w:rsid w:val="00915A2B"/>
    <w:rsid w:val="00921D23"/>
    <w:rsid w:val="00937DBE"/>
    <w:rsid w:val="009453A8"/>
    <w:rsid w:val="009C2933"/>
    <w:rsid w:val="009D2DBC"/>
    <w:rsid w:val="00A012DA"/>
    <w:rsid w:val="00A554E8"/>
    <w:rsid w:val="00A9557E"/>
    <w:rsid w:val="00AF263D"/>
    <w:rsid w:val="00AF2B3A"/>
    <w:rsid w:val="00AF7F5D"/>
    <w:rsid w:val="00B20C58"/>
    <w:rsid w:val="00B40400"/>
    <w:rsid w:val="00B517BF"/>
    <w:rsid w:val="00B56837"/>
    <w:rsid w:val="00B86012"/>
    <w:rsid w:val="00BE396D"/>
    <w:rsid w:val="00C3275B"/>
    <w:rsid w:val="00C93EC1"/>
    <w:rsid w:val="00CA4823"/>
    <w:rsid w:val="00D2413E"/>
    <w:rsid w:val="00D30EBE"/>
    <w:rsid w:val="00D8120F"/>
    <w:rsid w:val="00E127A4"/>
    <w:rsid w:val="00F31F7B"/>
    <w:rsid w:val="00F70E71"/>
    <w:rsid w:val="00FE5375"/>
    <w:rsid w:val="033C0E47"/>
    <w:rsid w:val="133D19A4"/>
    <w:rsid w:val="14531E16"/>
    <w:rsid w:val="20ED5FC0"/>
    <w:rsid w:val="2CCB6299"/>
    <w:rsid w:val="3DF956F9"/>
    <w:rsid w:val="546F1E46"/>
    <w:rsid w:val="5D110DF0"/>
    <w:rsid w:val="601B4649"/>
    <w:rsid w:val="629E17B2"/>
    <w:rsid w:val="679F04A6"/>
    <w:rsid w:val="6C5D46CC"/>
    <w:rsid w:val="7C352A83"/>
    <w:rsid w:val="7C774B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uiPriority w:val="99"/>
    <w:pPr>
      <w:spacing w:beforeAutospacing="1" w:afterAutospacing="1"/>
      <w:jc w:val="left"/>
    </w:pPr>
    <w:rPr>
      <w:rFonts w:cs="Times New Roman"/>
      <w:kern w:val="0"/>
      <w:sz w:val="24"/>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paragraph" w:customStyle="1" w:styleId="10">
    <w:name w:val="p0"/>
    <w:basedOn w:val="1"/>
    <w:qFormat/>
    <w:uiPriority w:val="0"/>
    <w:pPr>
      <w:widowControl/>
      <w:jc w:val="left"/>
    </w:pPr>
    <w:rPr>
      <w:rFonts w:ascii="宋体" w:hAnsi="宋体" w:eastAsia="宋体" w:cs="宋体"/>
      <w:kern w:val="0"/>
      <w:sz w:val="24"/>
    </w:rPr>
  </w:style>
  <w:style w:type="paragraph" w:customStyle="1" w:styleId="11">
    <w:name w:val="p18"/>
    <w:basedOn w:val="1"/>
    <w:uiPriority w:val="0"/>
    <w:pPr>
      <w:widowControl/>
      <w:jc w:val="left"/>
    </w:pPr>
    <w:rPr>
      <w:rFonts w:ascii="宋体" w:hAnsi="宋体" w:eastAsia="宋体" w:cs="宋体"/>
      <w:kern w:val="0"/>
      <w:sz w:val="24"/>
    </w:rPr>
  </w:style>
  <w:style w:type="paragraph" w:customStyle="1" w:styleId="12">
    <w:name w:val="p19"/>
    <w:basedOn w:val="1"/>
    <w:uiPriority w:val="0"/>
    <w:pPr>
      <w:widowControl/>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749</Words>
  <Characters>4275</Characters>
  <Lines>35</Lines>
  <Paragraphs>10</Paragraphs>
  <TotalTime>13</TotalTime>
  <ScaleCrop>false</ScaleCrop>
  <LinksUpToDate>false</LinksUpToDate>
  <CharactersWithSpaces>5014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2019-12-10T08:04:00Z</dcterms:created>
  <dc:creator>Administrator</dc:creator>
  <cp:lastModifiedBy>Administrator</cp:lastModifiedBy>
  <cp:lastPrinted>2022-02-22T08:14:26Z</cp:lastPrinted>
  <dcterms:modified xsi:type="dcterms:W3CDTF">2022-02-22T08:19:09Z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45501CB9A85245F6A9D4D1548BF6C0C5</vt:lpwstr>
  </property>
</Properties>
</file>