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w:t>
      </w:r>
      <w:bookmarkStart w:id="0" w:name="_GoBack"/>
      <w:bookmarkEnd w:id="0"/>
    </w:p>
    <w:p>
      <w:pPr>
        <w:ind w:firstLine="640" w:firstLineChars="200"/>
        <w:rPr>
          <w:rFonts w:hint="eastAsia" w:ascii="仿宋_GB2312" w:eastAsia="仿宋_GB2312"/>
          <w:sz w:val="32"/>
          <w:szCs w:val="32"/>
          <w:highlight w:val="none"/>
        </w:rPr>
      </w:pPr>
    </w:p>
    <w:p>
      <w:pPr>
        <w:ind w:firstLine="0" w:firstLineChars="0"/>
        <w:jc w:val="center"/>
        <w:outlineLvl w:val="1"/>
        <w:rPr>
          <w:rFonts w:hint="default" w:ascii="Times New Roman" w:hAnsi="Times New Roman"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rPr>
        <w:t>绿色制造</w:t>
      </w:r>
      <w:r>
        <w:rPr>
          <w:rFonts w:hint="default" w:ascii="Times New Roman" w:hAnsi="Times New Roman" w:eastAsia="方正小标宋简体" w:cs="Times New Roman"/>
          <w:sz w:val="36"/>
          <w:szCs w:val="36"/>
          <w:highlight w:val="none"/>
          <w:lang w:val="en" w:eastAsia="zh-CN"/>
        </w:rPr>
        <w:t>第三方</w:t>
      </w:r>
      <w:r>
        <w:rPr>
          <w:rFonts w:hint="default" w:ascii="Times New Roman" w:hAnsi="Times New Roman" w:eastAsia="方正小标宋简体" w:cs="Times New Roman"/>
          <w:sz w:val="36"/>
          <w:szCs w:val="36"/>
          <w:highlight w:val="none"/>
        </w:rPr>
        <w:t>评价工作</w:t>
      </w:r>
      <w:r>
        <w:rPr>
          <w:rFonts w:hint="default" w:ascii="Times New Roman" w:hAnsi="Times New Roman" w:eastAsia="方正小标宋简体" w:cs="Times New Roman"/>
          <w:sz w:val="36"/>
          <w:szCs w:val="36"/>
          <w:highlight w:val="none"/>
          <w:lang w:val="en-US" w:eastAsia="zh-CN"/>
        </w:rPr>
        <w:t>要求</w:t>
      </w:r>
    </w:p>
    <w:p>
      <w:pPr>
        <w:ind w:firstLine="720" w:firstLineChars="200"/>
        <w:jc w:val="center"/>
        <w:rPr>
          <w:rFonts w:ascii="Times New Roman" w:hAnsi="Times New Roman" w:eastAsia="方正小标宋简体" w:cs="Times New Roman"/>
          <w:sz w:val="36"/>
          <w:szCs w:val="36"/>
          <w:highlight w:val="none"/>
        </w:rPr>
      </w:pP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为加强对绿色制造第三方评价工作的指导，引导和规范第三方机构行为，制定本工作要求。</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en-US" w:eastAsia="zh-CN"/>
        </w:rPr>
        <w:t>第三方</w:t>
      </w:r>
      <w:r>
        <w:rPr>
          <w:rFonts w:hint="eastAsia" w:ascii="Times New Roman" w:hAnsi="Times New Roman" w:eastAsia="黑体" w:cs="Times New Roman"/>
          <w:sz w:val="32"/>
          <w:szCs w:val="32"/>
          <w:highlight w:val="none"/>
          <w:lang w:val="en-US" w:eastAsia="zh-CN"/>
        </w:rPr>
        <w:t>机构</w:t>
      </w:r>
      <w:r>
        <w:rPr>
          <w:rFonts w:hint="default" w:ascii="Times New Roman" w:hAnsi="Times New Roman" w:eastAsia="黑体" w:cs="Times New Roman"/>
          <w:sz w:val="32"/>
          <w:szCs w:val="32"/>
          <w:highlight w:val="none"/>
          <w:lang w:val="en-US" w:eastAsia="zh-CN"/>
        </w:rPr>
        <w:t>的基本条件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开展绿色制造相关评价工作的第三方机构</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满足以下基本条件：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（一）在中华人民共和国境内注册并具有独立法人资格的企事业单位、行业协会等，具有开展相关评价的经验和能力；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（二）具有固定的办公场所及开展评价工作的办公条件，具有健全的财务管理制度</w:t>
      </w:r>
      <w:r>
        <w:rPr>
          <w:rFonts w:hint="default" w:ascii="Times New Roman" w:hAnsi="Times New Roman" w:eastAsia="仿宋_GB2312" w:cs="Times New Roman"/>
          <w:i w:val="0"/>
          <w:caps w:val="0"/>
          <w:color w:val="070707"/>
          <w:spacing w:val="0"/>
          <w:sz w:val="32"/>
          <w:szCs w:val="32"/>
          <w:highlight w:val="none"/>
          <w:lang w:eastAsia="zh-CN"/>
        </w:rPr>
        <w:t>，</w:t>
      </w:r>
      <w:r>
        <w:rPr>
          <w:rFonts w:hint="default" w:ascii="Times New Roman" w:hAnsi="Times New Roman" w:eastAsia="仿宋_GB2312" w:cs="Times New Roman"/>
          <w:i w:val="0"/>
          <w:caps w:val="0"/>
          <w:color w:val="070707"/>
          <w:spacing w:val="0"/>
          <w:sz w:val="32"/>
          <w:szCs w:val="32"/>
          <w:highlight w:val="none"/>
          <w:lang w:val="en-US" w:eastAsia="zh-CN"/>
        </w:rPr>
        <w:t>建设保持并有效运行质量管理体系；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（三）从事绿色评价的中级职称以上专职人员不少于10人，其中能源、环境、生态、低碳、生命周期评价等相关专业高级职称人员不少于5人</w:t>
      </w: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评价</w:t>
      </w:r>
      <w:r>
        <w:rPr>
          <w:rFonts w:hint="default" w:ascii="Times New Roman" w:hAnsi="Times New Roman" w:eastAsia="仿宋_GB2312" w:cs="Times New Roman"/>
          <w:i w:val="0"/>
          <w:caps w:val="0"/>
          <w:color w:val="070707"/>
          <w:spacing w:val="0"/>
          <w:sz w:val="32"/>
          <w:szCs w:val="32"/>
          <w:highlight w:val="none"/>
        </w:rPr>
        <w:t>人员</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遵守国家法律法规和评价程序，熟悉绿色制造相关政策和标准规范；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lang w:val="en-US" w:eastAsia="zh-CN"/>
        </w:rPr>
      </w:pP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四）近三年不存在任何违法违规行为（参照“信用中国”和“国家企业信用信息公示系统”）；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rPr>
        <w:t>（</w:t>
      </w:r>
      <w:r>
        <w:rPr>
          <w:rFonts w:hint="eastAsia" w:ascii="Times New Roman" w:hAnsi="Times New Roman" w:eastAsia="仿宋_GB2312" w:cs="Times New Roman"/>
          <w:i w:val="0"/>
          <w:caps w:val="0"/>
          <w:color w:val="070707"/>
          <w:spacing w:val="0"/>
          <w:sz w:val="32"/>
          <w:szCs w:val="32"/>
          <w:highlight w:val="none"/>
          <w:lang w:val="en-US" w:eastAsia="zh-CN"/>
        </w:rPr>
        <w:t>五</w:t>
      </w:r>
      <w:r>
        <w:rPr>
          <w:rFonts w:hint="default" w:ascii="Times New Roman" w:hAnsi="Times New Roman" w:eastAsia="仿宋_GB2312" w:cs="Times New Roman"/>
          <w:i w:val="0"/>
          <w:caps w:val="0"/>
          <w:color w:val="070707"/>
          <w:spacing w:val="0"/>
          <w:sz w:val="32"/>
          <w:szCs w:val="32"/>
          <w:highlight w:val="none"/>
        </w:rPr>
        <w:t>）具备开展绿色工厂、绿色工业园区、绿色供应链</w:t>
      </w:r>
      <w:r>
        <w:rPr>
          <w:rFonts w:hint="eastAsia" w:ascii="Times New Roman" w:hAnsi="Times New Roman" w:eastAsia="仿宋_GB2312" w:cs="Times New Roman"/>
          <w:i w:val="0"/>
          <w:caps w:val="0"/>
          <w:color w:val="070707"/>
          <w:spacing w:val="0"/>
          <w:sz w:val="32"/>
          <w:szCs w:val="32"/>
          <w:highlight w:val="none"/>
          <w:lang w:val="en-US" w:eastAsia="zh-CN"/>
        </w:rPr>
        <w:t>管理企业</w:t>
      </w:r>
      <w:r>
        <w:rPr>
          <w:rFonts w:hint="default" w:ascii="Times New Roman" w:hAnsi="Times New Roman" w:eastAsia="仿宋_GB2312" w:cs="Times New Roman"/>
          <w:i w:val="0"/>
          <w:caps w:val="0"/>
          <w:color w:val="070707"/>
          <w:spacing w:val="0"/>
          <w:sz w:val="32"/>
          <w:szCs w:val="32"/>
          <w:highlight w:val="none"/>
        </w:rPr>
        <w:t>等领域评价的能力，近五年主导或参与绿色制造相关评审、论证、评价或省级以上科研项目，或</w:t>
      </w:r>
      <w:r>
        <w:rPr>
          <w:rFonts w:hint="eastAsia" w:ascii="Times New Roman" w:hAnsi="Times New Roman" w:eastAsia="仿宋_GB2312" w:cs="Times New Roman"/>
          <w:i w:val="0"/>
          <w:caps w:val="0"/>
          <w:color w:val="070707"/>
          <w:spacing w:val="0"/>
          <w:sz w:val="32"/>
          <w:szCs w:val="32"/>
          <w:highlight w:val="none"/>
          <w:lang w:val="en-US" w:eastAsia="zh-CN"/>
        </w:rPr>
        <w:t>牵头</w:t>
      </w:r>
      <w:r>
        <w:rPr>
          <w:rFonts w:hint="default" w:ascii="Times New Roman" w:hAnsi="Times New Roman" w:eastAsia="仿宋_GB2312" w:cs="Times New Roman"/>
          <w:i w:val="0"/>
          <w:caps w:val="0"/>
          <w:color w:val="070707"/>
          <w:spacing w:val="0"/>
          <w:sz w:val="32"/>
          <w:szCs w:val="32"/>
          <w:highlight w:val="none"/>
        </w:rPr>
        <w:t>国家及行业绿色制造相关标准制定等。</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lang w:eastAsia="zh-CN"/>
        </w:rPr>
        <w:t>第三方评价</w:t>
      </w:r>
      <w:r>
        <w:rPr>
          <w:rFonts w:hint="default" w:ascii="Times New Roman" w:hAnsi="Times New Roman" w:eastAsia="黑体" w:cs="Times New Roman"/>
          <w:sz w:val="32"/>
          <w:szCs w:val="32"/>
          <w:highlight w:val="none"/>
          <w:lang w:val="en-US" w:eastAsia="zh-CN"/>
        </w:rPr>
        <w:t>参考程序</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参与</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评价活动的</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应建立规范的评价工作流程，包括：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（一）评价工作受理</w:t>
      </w:r>
    </w:p>
    <w:p>
      <w:p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受理评价工作后，应</w:t>
      </w:r>
      <w:r>
        <w:rPr>
          <w:rFonts w:hint="eastAsia" w:ascii="Times New Roman" w:hAnsi="Times New Roman" w:eastAsia="仿宋_GB2312" w:cs="Times New Roman"/>
          <w:sz w:val="32"/>
          <w:szCs w:val="32"/>
          <w:highlight w:val="none"/>
          <w:lang w:val="en-US" w:eastAsia="zh-CN"/>
        </w:rPr>
        <w:t>对照《绿色工厂梯度培育及管理暂行办法》和相关标准要求，</w:t>
      </w:r>
      <w:r>
        <w:rPr>
          <w:rFonts w:hint="default" w:ascii="Times New Roman" w:hAnsi="Times New Roman" w:eastAsia="仿宋_GB2312" w:cs="Times New Roman"/>
          <w:sz w:val="32"/>
          <w:szCs w:val="32"/>
          <w:highlight w:val="none"/>
        </w:rPr>
        <w:t>对受评价方的符合性和评价活动的可行性进行评估，通过国家企业信用信息公示系统，</w:t>
      </w:r>
      <w:r>
        <w:rPr>
          <w:rFonts w:hint="default" w:ascii="Times New Roman" w:hAnsi="Times New Roman" w:eastAsia="仿宋_GB2312" w:cs="Times New Roman"/>
          <w:sz w:val="32"/>
          <w:szCs w:val="32"/>
          <w:highlight w:val="none"/>
          <w:lang w:val="en-US" w:eastAsia="zh-CN"/>
        </w:rPr>
        <w:t>信用中国</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地方环保、安监网站等渠道对企业进行调查，</w:t>
      </w:r>
      <w:r>
        <w:rPr>
          <w:rFonts w:hint="default" w:ascii="Times New Roman" w:hAnsi="Times New Roman" w:eastAsia="仿宋_GB2312" w:cs="Times New Roman"/>
          <w:sz w:val="32"/>
          <w:szCs w:val="32"/>
          <w:highlight w:val="none"/>
          <w:lang w:val="en-US" w:eastAsia="zh-CN"/>
        </w:rPr>
        <w:t>收集受评价方相关信息，</w:t>
      </w:r>
      <w:r>
        <w:rPr>
          <w:rFonts w:hint="eastAsia" w:ascii="Times New Roman" w:hAnsi="Times New Roman" w:eastAsia="仿宋_GB2312" w:cs="Times New Roman"/>
          <w:sz w:val="32"/>
          <w:szCs w:val="32"/>
          <w:highlight w:val="none"/>
          <w:lang w:val="en-US" w:eastAsia="zh-CN"/>
        </w:rPr>
        <w:t>初步</w:t>
      </w:r>
      <w:r>
        <w:rPr>
          <w:rFonts w:hint="default" w:ascii="Times New Roman" w:hAnsi="Times New Roman" w:eastAsia="仿宋_GB2312" w:cs="Times New Roman"/>
          <w:sz w:val="32"/>
          <w:szCs w:val="32"/>
          <w:highlight w:val="none"/>
        </w:rPr>
        <w:t>复核</w:t>
      </w:r>
      <w:r>
        <w:rPr>
          <w:rFonts w:hint="eastAsia" w:ascii="Times New Roman" w:hAnsi="Times New Roman" w:eastAsia="仿宋_GB2312" w:cs="Times New Roman"/>
          <w:sz w:val="32"/>
          <w:szCs w:val="32"/>
          <w:highlight w:val="none"/>
          <w:lang w:val="en-US" w:eastAsia="zh-CN"/>
        </w:rPr>
        <w:t>受评价方相关标准要求</w:t>
      </w:r>
      <w:r>
        <w:rPr>
          <w:rFonts w:hint="default" w:ascii="Times New Roman" w:hAnsi="Times New Roman" w:eastAsia="仿宋_GB2312" w:cs="Times New Roman"/>
          <w:sz w:val="32"/>
          <w:szCs w:val="32"/>
          <w:highlight w:val="none"/>
        </w:rPr>
        <w:t>的符合性。</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确定可行性时应考虑诸如下列因素的可获得性：</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受评价方的充分合作；</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充分的时间和资源</w:t>
      </w:r>
      <w:r>
        <w:rPr>
          <w:rFonts w:hint="default" w:ascii="Times New Roman" w:hAnsi="Times New Roman" w:eastAsia="仿宋_GB2312" w:cs="Times New Roman"/>
          <w:sz w:val="32"/>
          <w:szCs w:val="32"/>
          <w:highlight w:val="none"/>
          <w:lang w:eastAsia="zh-CN"/>
        </w:rPr>
        <w:t>；</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熟悉受评价方所属领域的评价人员</w:t>
      </w:r>
      <w:r>
        <w:rPr>
          <w:rFonts w:hint="default" w:ascii="Times New Roman" w:hAnsi="Times New Roman" w:eastAsia="仿宋_GB2312" w:cs="Times New Roman"/>
          <w:sz w:val="32"/>
          <w:szCs w:val="32"/>
          <w:highlight w:val="none"/>
        </w:rPr>
        <w:t>。</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当评价活动不可行时，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应当在与受评价方协商后，推迟评价时间或取消评价。</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（二）签订评价合同</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当确定评价活动可行时，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应与受评价方签订评价合同，在评价合同中应明确评价工作流程、费用、企业配合事项、保密要求等。</w:t>
      </w: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评价费用需根据实际工作情况合理定价，突出评价工作的公益性，不得依靠</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评价工作牟取暴利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不在合同中出现对评价结果做出承诺的相关条款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不将评价费用与申报结果挂钩</w:t>
      </w:r>
      <w:r>
        <w:rPr>
          <w:rFonts w:hint="default" w:ascii="Times New Roman" w:hAnsi="Times New Roman" w:eastAsia="仿宋_GB2312" w:cs="Times New Roman"/>
          <w:sz w:val="32"/>
          <w:szCs w:val="32"/>
          <w:highlight w:val="none"/>
        </w:rPr>
        <w:t>。</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（三）组成评价组</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z w:val="32"/>
          <w:szCs w:val="32"/>
          <w:highlight w:val="none"/>
        </w:rPr>
        <w:t>评价组</w:t>
      </w:r>
      <w:r>
        <w:rPr>
          <w:rFonts w:hint="default" w:ascii="Times New Roman" w:hAnsi="Times New Roman" w:eastAsia="仿宋_GB2312" w:cs="Times New Roman"/>
          <w:snapToGrid w:val="0"/>
          <w:kern w:val="0"/>
          <w:sz w:val="32"/>
          <w:szCs w:val="32"/>
          <w:highlight w:val="none"/>
        </w:rPr>
        <w:t>应由组长及数名组员构成，人数不低于三人。评价组整体应具备覆盖绿色制造评价需要的各种知识和能力，包括并不限于环保、低碳、节能、安全、质量、循环经济、可再生能源等。</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评价组组长应具备管理体系审核、能源审计、节能量审核、清洁生产审核</w:t>
      </w:r>
      <w:r>
        <w:rPr>
          <w:rFonts w:hint="default" w:ascii="Times New Roman" w:hAnsi="Times New Roman" w:eastAsia="仿宋_GB2312" w:cs="Times New Roman"/>
          <w:snapToGrid w:val="0"/>
          <w:kern w:val="0"/>
          <w:sz w:val="32"/>
          <w:szCs w:val="32"/>
          <w:highlight w:val="none"/>
          <w:lang w:val="en-US" w:eastAsia="zh-CN"/>
        </w:rPr>
        <w:t>或</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评价等相关审核或评价组长经验，主要负责领导评价组实施评价工作，包括制定计划、召开会议、实施评价及编制报告等。</w:t>
      </w:r>
    </w:p>
    <w:p>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评价组成员一般应为</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全职人员，当</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缺少行业工作经验的人员时，可以邀请外部机构成员以外聘行业专家的身份参与评价。</w:t>
      </w:r>
    </w:p>
    <w:p>
      <w:pPr>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应优先安排具备</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评价经验或参加过相关培训的人员开展评价工作。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（四）评价工作时间要求</w:t>
      </w:r>
    </w:p>
    <w:p>
      <w:pPr>
        <w:pStyle w:val="17"/>
        <w:ind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eastAsia="zh-CN"/>
        </w:rPr>
        <w:t>绿色制造</w:t>
      </w:r>
      <w:r>
        <w:rPr>
          <w:rFonts w:hint="default" w:ascii="Times New Roman" w:hAnsi="Times New Roman" w:eastAsia="仿宋_GB2312" w:cs="Times New Roman"/>
          <w:snapToGrid w:val="0"/>
          <w:kern w:val="0"/>
          <w:sz w:val="32"/>
          <w:szCs w:val="32"/>
          <w:highlight w:val="none"/>
        </w:rPr>
        <w:t>评价的基准人日数为20人日（至少含现场评价12人日）。</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实际人日数可根据</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的实际情况进行调整，调整时应考虑下列因素，且不宜少于15人日（至少含现场8人日）：</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1.</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工艺复杂程度；</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2.</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规模大小；</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3.</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的厂区数量、分场所位置；</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4.</w:t>
      </w:r>
      <w:r>
        <w:rPr>
          <w:rFonts w:hint="default" w:ascii="Times New Roman" w:hAnsi="Times New Roman" w:eastAsia="仿宋_GB2312" w:cs="Times New Roman"/>
          <w:snapToGrid w:val="0"/>
          <w:kern w:val="0"/>
          <w:sz w:val="32"/>
          <w:szCs w:val="32"/>
          <w:highlight w:val="none"/>
        </w:rPr>
        <w:t>相关数据量的大小、策划的抽样数量、数据的易统计性。</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（五）文件评审</w:t>
      </w:r>
    </w:p>
    <w:p>
      <w:pPr>
        <w:spacing w:line="360" w:lineRule="auto"/>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接受评价工作后，</w:t>
      </w:r>
      <w:r>
        <w:rPr>
          <w:rFonts w:hint="default" w:ascii="Times New Roman" w:hAnsi="Times New Roman" w:eastAsia="仿宋_GB2312" w:cs="Times New Roman"/>
          <w:snapToGrid w:val="0"/>
          <w:kern w:val="0"/>
          <w:sz w:val="32"/>
          <w:szCs w:val="32"/>
          <w:highlight w:val="none"/>
          <w:lang w:val="en-US" w:eastAsia="zh-CN"/>
        </w:rPr>
        <w:t>应根据受评价方基本情况，制定需要收集的文件和证明材料清单。</w:t>
      </w:r>
      <w:r>
        <w:rPr>
          <w:rFonts w:hint="default" w:ascii="Times New Roman" w:hAnsi="Times New Roman" w:eastAsia="仿宋_GB2312" w:cs="Times New Roman"/>
          <w:snapToGrid w:val="0"/>
          <w:kern w:val="0"/>
          <w:sz w:val="32"/>
          <w:szCs w:val="32"/>
          <w:highlight w:val="none"/>
        </w:rPr>
        <w:t>对受评价方</w:t>
      </w:r>
      <w:r>
        <w:rPr>
          <w:rFonts w:hint="default" w:ascii="Times New Roman" w:hAnsi="Times New Roman" w:eastAsia="仿宋_GB2312" w:cs="Times New Roman"/>
          <w:snapToGrid w:val="0"/>
          <w:kern w:val="0"/>
          <w:sz w:val="32"/>
          <w:szCs w:val="32"/>
          <w:highlight w:val="none"/>
          <w:lang w:val="en-US" w:eastAsia="zh-CN"/>
        </w:rPr>
        <w:t>所提交</w:t>
      </w:r>
      <w:r>
        <w:rPr>
          <w:rFonts w:hint="default" w:ascii="Times New Roman" w:hAnsi="Times New Roman" w:eastAsia="仿宋_GB2312" w:cs="Times New Roman"/>
          <w:snapToGrid w:val="0"/>
          <w:kern w:val="0"/>
          <w:sz w:val="32"/>
          <w:szCs w:val="32"/>
          <w:highlight w:val="none"/>
        </w:rPr>
        <w:t>文件的齐套性进行检查，文件不齐套时，通知受评价方重新提交或补充。通过对受评价方提交的齐套资料进行内容评审，</w:t>
      </w:r>
      <w:r>
        <w:rPr>
          <w:rFonts w:hint="eastAsia" w:ascii="Times New Roman" w:hAnsi="Times New Roman" w:eastAsia="仿宋_GB2312" w:cs="Times New Roman"/>
          <w:snapToGrid w:val="0"/>
          <w:kern w:val="0"/>
          <w:sz w:val="32"/>
          <w:szCs w:val="32"/>
          <w:highlight w:val="none"/>
          <w:lang w:val="en-US" w:eastAsia="zh-CN"/>
        </w:rPr>
        <w:t>第三方机构</w:t>
      </w:r>
      <w:r>
        <w:rPr>
          <w:rFonts w:hint="default" w:ascii="Times New Roman" w:hAnsi="Times New Roman" w:eastAsia="仿宋_GB2312" w:cs="Times New Roman"/>
          <w:snapToGrid w:val="0"/>
          <w:kern w:val="0"/>
          <w:sz w:val="32"/>
          <w:szCs w:val="32"/>
          <w:highlight w:val="none"/>
          <w:lang w:val="en-US" w:eastAsia="zh-CN"/>
        </w:rPr>
        <w:t>应</w:t>
      </w:r>
      <w:r>
        <w:rPr>
          <w:rFonts w:hint="default" w:ascii="Times New Roman" w:hAnsi="Times New Roman" w:eastAsia="仿宋_GB2312" w:cs="Times New Roman"/>
          <w:snapToGrid w:val="0"/>
          <w:kern w:val="0"/>
          <w:sz w:val="32"/>
          <w:szCs w:val="32"/>
          <w:highlight w:val="none"/>
        </w:rPr>
        <w:t>识别出后续现场评价的重点。</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（六）现场评价</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文件评审结束后，评价组应进行现场评价的过程策划，拟制现场评价计划及</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应在现场评价中准备的材料清单，与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充分沟通，确认</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已充分理解评价计划并能够提供所有的相关材料后，与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商定现场评价时间。</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现场评价的目的是通过走访生产现场、访问相关人员、查阅文件和记录、访谈相关主管部门（必要时），汇总数据等方式对</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实际的绿色水平进行评价，并提出</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的改进建议。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现场评价可按照召开首次会议介绍评价计划、收集和验证信息、召开末次会议介绍评价发现和结论的步骤实施。评价组在现场获取的信息必须是真实的，能够满足评价的要求。对于生产多种产品的</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现场访问应覆盖主要产品的生产场所以及重点能耗工序和设备，主要污染治理设备，主要安全和消防设施，危险化学品放置场所等。其他非重要场所（如办公场所或非主要产品生产场所）的数据收集可采用查阅文件和</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资料的方式获取。</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现场评价实施后，评价组应针对在文件评审和现场评价过程中发现的疑问以及未获得的数据或</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等开具澄清要求给</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，并要求</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在规定的时间内澄清或补充提供相关资料与</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w:t>
      </w:r>
    </w:p>
    <w:p>
      <w:pPr>
        <w:spacing w:line="360" w:lineRule="auto"/>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（七）编制评价报告</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完成现场评价工作后，评价组长应牵头按时完成评价报告的编制工作。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（八）技术评审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应对评价活动进行内部质量管控，由具备能力的非评价组成员对评价报告进行技术评审。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技术评审可采取文件审核的形式，对评价组的所有工作文件（包括计划、报告、检查表等）以及受评价方提供的</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资料进行评审，必要时可访问评价组成员和受评价企业。</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技术评审发现评价</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不能支撑评价结果的情况应开出澄清项给评价组整改</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如果有影响评价结果的问题</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而</w:t>
      </w:r>
      <w:r>
        <w:rPr>
          <w:rFonts w:hint="default" w:ascii="Times New Roman" w:hAnsi="Times New Roman" w:eastAsia="仿宋_GB2312" w:cs="Times New Roman"/>
          <w:snapToGrid w:val="0"/>
          <w:kern w:val="0"/>
          <w:sz w:val="32"/>
          <w:szCs w:val="32"/>
          <w:highlight w:val="none"/>
        </w:rPr>
        <w:t>评价组不能解决</w:t>
      </w:r>
      <w:r>
        <w:rPr>
          <w:rFonts w:hint="eastAsia" w:ascii="Times New Roman" w:hAnsi="Times New Roman" w:eastAsia="仿宋_GB2312" w:cs="Times New Roman"/>
          <w:snapToGrid w:val="0"/>
          <w:kern w:val="0"/>
          <w:sz w:val="32"/>
          <w:szCs w:val="32"/>
          <w:highlight w:val="none"/>
          <w:lang w:val="en-US" w:eastAsia="zh-CN"/>
        </w:rPr>
        <w:t>时</w:t>
      </w:r>
      <w:r>
        <w:rPr>
          <w:rFonts w:hint="default" w:ascii="Times New Roman" w:hAnsi="Times New Roman" w:eastAsia="仿宋_GB2312" w:cs="Times New Roman"/>
          <w:snapToGrid w:val="0"/>
          <w:kern w:val="0"/>
          <w:sz w:val="32"/>
          <w:szCs w:val="32"/>
          <w:highlight w:val="none"/>
        </w:rPr>
        <w:t>，技术评审人员应根据问题的性质调整评价</w:t>
      </w:r>
      <w:r>
        <w:rPr>
          <w:rFonts w:hint="default" w:ascii="Times New Roman" w:hAnsi="Times New Roman" w:eastAsia="仿宋_GB2312" w:cs="Times New Roman"/>
          <w:snapToGrid w:val="0"/>
          <w:kern w:val="0"/>
          <w:sz w:val="32"/>
          <w:szCs w:val="32"/>
          <w:highlight w:val="none"/>
          <w:lang w:val="en-US" w:eastAsia="zh-CN"/>
        </w:rPr>
        <w:t>结果</w:t>
      </w:r>
      <w:r>
        <w:rPr>
          <w:rFonts w:hint="default" w:ascii="Times New Roman" w:hAnsi="Times New Roman" w:eastAsia="仿宋_GB2312" w:cs="Times New Roman"/>
          <w:snapToGrid w:val="0"/>
          <w:kern w:val="0"/>
          <w:sz w:val="32"/>
          <w:szCs w:val="32"/>
          <w:highlight w:val="none"/>
        </w:rPr>
        <w:t>，严重时改变评价结论。</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、绿色制造评价报告</w:t>
      </w:r>
      <w:r>
        <w:rPr>
          <w:rFonts w:hint="default" w:ascii="Times New Roman" w:hAnsi="Times New Roman" w:eastAsia="黑体" w:cs="Times New Roman"/>
          <w:sz w:val="32"/>
          <w:szCs w:val="32"/>
          <w:highlight w:val="none"/>
          <w:lang w:val="en-US" w:eastAsia="zh-CN"/>
        </w:rPr>
        <w:t>的要求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参与绿色制造的</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应规范评价报告的内容，包括：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（一）评价报告内容要求</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申报国家层面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评价报告应</w:t>
      </w:r>
      <w:r>
        <w:rPr>
          <w:rFonts w:hint="default" w:ascii="Times New Roman" w:hAnsi="Times New Roman" w:eastAsia="仿宋_GB2312" w:cs="Times New Roman"/>
          <w:snapToGrid w:val="0"/>
          <w:kern w:val="0"/>
          <w:sz w:val="32"/>
          <w:szCs w:val="32"/>
          <w:highlight w:val="none"/>
          <w:lang w:val="en-US" w:eastAsia="zh-CN"/>
        </w:rPr>
        <w:t>参考附件</w:t>
      </w:r>
      <w:r>
        <w:rPr>
          <w:rFonts w:hint="eastAsia" w:ascii="Times New Roman" w:hAnsi="Times New Roman" w:eastAsia="仿宋_GB2312" w:cs="Times New Roman"/>
          <w:snapToGrid w:val="0"/>
          <w:kern w:val="0"/>
          <w:sz w:val="32"/>
          <w:szCs w:val="32"/>
          <w:highlight w:val="none"/>
          <w:lang w:val="en-US" w:eastAsia="zh-CN"/>
        </w:rPr>
        <w:t>1.1-1.3</w:t>
      </w:r>
      <w:r>
        <w:rPr>
          <w:rFonts w:hint="default" w:ascii="Times New Roman" w:hAnsi="Times New Roman" w:eastAsia="仿宋_GB2312" w:cs="Times New Roman"/>
          <w:snapToGrid w:val="0"/>
          <w:kern w:val="0"/>
          <w:sz w:val="32"/>
          <w:szCs w:val="32"/>
          <w:highlight w:val="none"/>
          <w:lang w:val="en-US" w:eastAsia="zh-CN"/>
        </w:rPr>
        <w:t>的模板进行编制</w:t>
      </w:r>
      <w:r>
        <w:rPr>
          <w:rFonts w:hint="eastAsia" w:ascii="Times New Roman" w:hAnsi="Times New Roman" w:eastAsia="仿宋_GB2312" w:cs="Times New Roman"/>
          <w:snapToGrid w:val="0"/>
          <w:kern w:val="0"/>
          <w:sz w:val="32"/>
          <w:szCs w:val="32"/>
          <w:highlight w:val="none"/>
          <w:lang w:val="en-US" w:eastAsia="zh-CN"/>
        </w:rPr>
        <w:t>。使用行业标准进行评价的，第三方机构需根据行业标准的内容，对模板中的第三方评价表进行设计。</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申报省市层面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评价报告模板以地方要求为准。</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评价报告应</w:t>
      </w:r>
      <w:r>
        <w:rPr>
          <w:rFonts w:hint="default" w:ascii="Times New Roman" w:hAnsi="Times New Roman" w:eastAsia="仿宋_GB2312" w:cs="Times New Roman"/>
          <w:snapToGrid w:val="0"/>
          <w:kern w:val="0"/>
          <w:sz w:val="32"/>
          <w:szCs w:val="32"/>
          <w:highlight w:val="none"/>
        </w:rPr>
        <w:t>充分体现</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在现场开展评价的实施过程</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val="en-US" w:eastAsia="zh-CN"/>
        </w:rPr>
        <w:t>全面、真实、准确、系统反映受评价方实际情况和工作亮点。报告</w:t>
      </w:r>
      <w:r>
        <w:rPr>
          <w:rFonts w:hint="default" w:ascii="Times New Roman" w:hAnsi="Times New Roman" w:eastAsia="仿宋_GB2312" w:cs="Times New Roman"/>
          <w:snapToGrid w:val="0"/>
          <w:kern w:val="0"/>
          <w:sz w:val="32"/>
          <w:szCs w:val="32"/>
          <w:highlight w:val="none"/>
        </w:rPr>
        <w:t>内容</w:t>
      </w:r>
      <w:r>
        <w:rPr>
          <w:rFonts w:hint="default" w:ascii="Times New Roman" w:hAnsi="Times New Roman" w:eastAsia="仿宋_GB2312" w:cs="Times New Roman"/>
          <w:snapToGrid w:val="0"/>
          <w:kern w:val="0"/>
          <w:sz w:val="32"/>
          <w:szCs w:val="32"/>
          <w:highlight w:val="none"/>
          <w:lang w:val="en-US" w:eastAsia="zh-CN"/>
        </w:rPr>
        <w:t>应详实细致、语言简要精炼</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针对每一项评价条款的要求，详细阐述评价的过程和判定</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符合情况的充分依据，对</w:t>
      </w:r>
      <w:r>
        <w:rPr>
          <w:rFonts w:hint="default" w:ascii="Times New Roman" w:hAnsi="Times New Roman" w:eastAsia="仿宋_GB2312" w:cs="Times New Roman"/>
          <w:snapToGrid w:val="0"/>
          <w:kern w:val="0"/>
          <w:sz w:val="32"/>
          <w:szCs w:val="32"/>
          <w:highlight w:val="none"/>
          <w:lang w:val="en-US" w:eastAsia="zh-CN"/>
        </w:rPr>
        <w:t>评价中</w:t>
      </w:r>
      <w:r>
        <w:rPr>
          <w:rFonts w:hint="default" w:ascii="Times New Roman" w:hAnsi="Times New Roman" w:eastAsia="仿宋_GB2312" w:cs="Times New Roman"/>
          <w:snapToGrid w:val="0"/>
          <w:kern w:val="0"/>
          <w:sz w:val="32"/>
          <w:szCs w:val="32"/>
          <w:highlight w:val="none"/>
        </w:rPr>
        <w:t>的关键内容</w:t>
      </w:r>
      <w:r>
        <w:rPr>
          <w:rFonts w:hint="default" w:ascii="Times New Roman" w:hAnsi="Times New Roman" w:eastAsia="仿宋_GB2312" w:cs="Times New Roman"/>
          <w:snapToGrid w:val="0"/>
          <w:kern w:val="0"/>
          <w:sz w:val="32"/>
          <w:szCs w:val="32"/>
          <w:highlight w:val="none"/>
          <w:lang w:val="en-US" w:eastAsia="zh-CN"/>
        </w:rPr>
        <w:t>要附上</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文件，对</w:t>
      </w:r>
      <w:r>
        <w:rPr>
          <w:rFonts w:hint="eastAsia" w:ascii="Times New Roman" w:hAnsi="Times New Roman" w:eastAsia="仿宋_GB2312" w:cs="Times New Roman"/>
          <w:snapToGrid w:val="0"/>
          <w:kern w:val="0"/>
          <w:sz w:val="32"/>
          <w:szCs w:val="32"/>
          <w:highlight w:val="none"/>
          <w:lang w:val="en-US" w:eastAsia="zh-CN"/>
        </w:rPr>
        <w:t>定量指标</w:t>
      </w:r>
      <w:r>
        <w:rPr>
          <w:rFonts w:hint="default" w:ascii="Times New Roman" w:hAnsi="Times New Roman" w:eastAsia="仿宋_GB2312" w:cs="Times New Roman"/>
          <w:snapToGrid w:val="0"/>
          <w:kern w:val="0"/>
          <w:sz w:val="32"/>
          <w:szCs w:val="32"/>
          <w:highlight w:val="none"/>
        </w:rPr>
        <w:t>给出详细的计算过程和数据</w:t>
      </w:r>
      <w:r>
        <w:rPr>
          <w:rFonts w:hint="default" w:ascii="Times New Roman" w:hAnsi="Times New Roman" w:eastAsia="仿宋_GB2312" w:cs="Times New Roman"/>
          <w:snapToGrid w:val="0"/>
          <w:kern w:val="0"/>
          <w:sz w:val="32"/>
          <w:szCs w:val="32"/>
          <w:highlight w:val="none"/>
          <w:lang w:val="en-US" w:eastAsia="zh-CN"/>
        </w:rPr>
        <w:t>出处</w:t>
      </w:r>
      <w:r>
        <w:rPr>
          <w:rFonts w:hint="default" w:ascii="Times New Roman" w:hAnsi="Times New Roman" w:eastAsia="仿宋_GB2312" w:cs="Times New Roman"/>
          <w:snapToGrid w:val="0"/>
          <w:kern w:val="0"/>
          <w:sz w:val="32"/>
          <w:szCs w:val="32"/>
          <w:highlight w:val="none"/>
        </w:rPr>
        <w:t>，做到</w:t>
      </w:r>
      <w:r>
        <w:rPr>
          <w:rFonts w:hint="eastAsia" w:ascii="Times New Roman" w:hAnsi="Times New Roman" w:eastAsia="仿宋_GB2312" w:cs="Times New Roman"/>
          <w:snapToGrid w:val="0"/>
          <w:kern w:val="0"/>
          <w:sz w:val="32"/>
          <w:szCs w:val="32"/>
          <w:highlight w:val="none"/>
          <w:lang w:val="en-US" w:eastAsia="zh-CN"/>
        </w:rPr>
        <w:t>材料</w:t>
      </w:r>
      <w:r>
        <w:rPr>
          <w:rFonts w:hint="default" w:ascii="Times New Roman" w:hAnsi="Times New Roman" w:eastAsia="仿宋_GB2312" w:cs="Times New Roman"/>
          <w:snapToGrid w:val="0"/>
          <w:kern w:val="0"/>
          <w:sz w:val="32"/>
          <w:szCs w:val="32"/>
          <w:highlight w:val="none"/>
          <w:lang w:val="en-US" w:eastAsia="zh-CN"/>
        </w:rPr>
        <w:t>完善</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结论</w:t>
      </w:r>
      <w:r>
        <w:rPr>
          <w:rFonts w:hint="default" w:ascii="Times New Roman" w:hAnsi="Times New Roman" w:eastAsia="仿宋_GB2312" w:cs="Times New Roman"/>
          <w:snapToGrid w:val="0"/>
          <w:kern w:val="0"/>
          <w:sz w:val="32"/>
          <w:szCs w:val="32"/>
          <w:highlight w:val="none"/>
        </w:rPr>
        <w:t>判定准确。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报告中不同类型评价活动相关</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举例：</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1.</w:t>
      </w:r>
      <w:r>
        <w:rPr>
          <w:rFonts w:hint="default" w:ascii="Times New Roman" w:hAnsi="Times New Roman" w:eastAsia="仿宋_GB2312" w:cs="Times New Roman"/>
          <w:snapToGrid w:val="0"/>
          <w:kern w:val="0"/>
          <w:sz w:val="32"/>
          <w:szCs w:val="32"/>
          <w:highlight w:val="none"/>
        </w:rPr>
        <w:t>绿色工厂</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环保局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2.</w:t>
      </w:r>
      <w:r>
        <w:rPr>
          <w:rFonts w:hint="eastAsia" w:ascii="Times New Roman" w:hAnsi="Times New Roman" w:eastAsia="仿宋_GB2312" w:cs="Times New Roman"/>
          <w:snapToGrid w:val="0"/>
          <w:kern w:val="0"/>
          <w:sz w:val="32"/>
          <w:szCs w:val="32"/>
          <w:highlight w:val="none"/>
          <w:lang w:eastAsia="zh-CN"/>
        </w:rPr>
        <w:t>绿色工业园区材料</w:t>
      </w:r>
      <w:r>
        <w:rPr>
          <w:rFonts w:hint="default" w:ascii="Times New Roman" w:hAnsi="Times New Roman" w:eastAsia="仿宋_GB2312" w:cs="Times New Roman"/>
          <w:snapToGrid w:val="0"/>
          <w:kern w:val="0"/>
          <w:sz w:val="32"/>
          <w:szCs w:val="32"/>
          <w:highlight w:val="none"/>
        </w:rPr>
        <w:t>类型：合法合规自我承诺声明，节能减排指标完成情况报告，重点企业清洁生产审核名单，统计、环保、住建、国土等相关部门统计报表等；</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rPr>
        <w:t>绿色供应链</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类型：体系认证证书，供应商名录，供应商管理制度文件，供应商审核报告，环境监测报告等；</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应根据评价结果，为申报主体提出下一步改进的</w:t>
      </w:r>
      <w:r>
        <w:rPr>
          <w:rFonts w:hint="default" w:ascii="Times New Roman" w:hAnsi="Times New Roman" w:eastAsia="仿宋_GB2312" w:cs="Times New Roman"/>
          <w:snapToGrid w:val="0"/>
          <w:kern w:val="0"/>
          <w:sz w:val="32"/>
          <w:szCs w:val="32"/>
          <w:highlight w:val="none"/>
          <w:lang w:val="en-US" w:eastAsia="zh-CN"/>
        </w:rPr>
        <w:t>有效</w:t>
      </w:r>
      <w:r>
        <w:rPr>
          <w:rFonts w:hint="default" w:ascii="Times New Roman" w:hAnsi="Times New Roman" w:eastAsia="仿宋_GB2312" w:cs="Times New Roman"/>
          <w:snapToGrid w:val="0"/>
          <w:kern w:val="0"/>
          <w:sz w:val="32"/>
          <w:szCs w:val="32"/>
          <w:highlight w:val="none"/>
        </w:rPr>
        <w:t>建议。</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（二）评价报告责任要求</w:t>
      </w:r>
    </w:p>
    <w:p>
      <w:pPr>
        <w:tabs>
          <w:tab w:val="left" w:pos="426"/>
        </w:tabs>
        <w:ind w:firstLine="640" w:firstLineChars="200"/>
        <w:jc w:val="left"/>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评价报告中涉及的</w:t>
      </w:r>
      <w:r>
        <w:rPr>
          <w:rFonts w:hint="default" w:ascii="Times New Roman" w:hAnsi="Times New Roman" w:eastAsia="仿宋_GB2312" w:cs="Times New Roman"/>
          <w:snapToGrid w:val="0"/>
          <w:kern w:val="0"/>
          <w:sz w:val="32"/>
          <w:szCs w:val="32"/>
          <w:highlight w:val="none"/>
          <w:lang w:val="en-US" w:eastAsia="zh-CN"/>
        </w:rPr>
        <w:t>所有</w:t>
      </w:r>
      <w:r>
        <w:rPr>
          <w:rFonts w:hint="default" w:ascii="Times New Roman" w:hAnsi="Times New Roman" w:eastAsia="仿宋_GB2312" w:cs="Times New Roman"/>
          <w:snapToGrid w:val="0"/>
          <w:kern w:val="0"/>
          <w:sz w:val="32"/>
          <w:szCs w:val="32"/>
          <w:highlight w:val="none"/>
        </w:rPr>
        <w:t>内容，</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应对真实性承担相应的责任</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并要求受评价方提供材料的真实性承诺</w:t>
      </w:r>
      <w:r>
        <w:rPr>
          <w:rFonts w:hint="default" w:ascii="Times New Roman" w:hAnsi="Times New Roman" w:eastAsia="仿宋_GB2312" w:cs="Times New Roman"/>
          <w:snapToGrid w:val="0"/>
          <w:kern w:val="0"/>
          <w:sz w:val="32"/>
          <w:szCs w:val="32"/>
          <w:highlight w:val="none"/>
        </w:rPr>
        <w:t>。在</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组织的评估确认过程中，对评价报告内容发现疑问的，由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负责向相关部门进行解释澄清。</w:t>
      </w:r>
    </w:p>
    <w:p>
      <w:pPr>
        <w:tabs>
          <w:tab w:val="left" w:pos="426"/>
        </w:tabs>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如因</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评价报告不符合要求</w:t>
      </w:r>
      <w:r>
        <w:rPr>
          <w:rFonts w:hint="default" w:ascii="Times New Roman" w:hAnsi="Times New Roman" w:eastAsia="仿宋_GB2312" w:cs="Times New Roman"/>
          <w:snapToGrid w:val="0"/>
          <w:kern w:val="0"/>
          <w:sz w:val="32"/>
          <w:szCs w:val="32"/>
          <w:highlight w:val="none"/>
          <w:lang w:val="en-US" w:eastAsia="zh-CN"/>
        </w:rPr>
        <w:t>或存在质量问题</w:t>
      </w:r>
      <w:r>
        <w:rPr>
          <w:rFonts w:hint="default" w:ascii="Times New Roman" w:hAnsi="Times New Roman" w:eastAsia="仿宋_GB2312" w:cs="Times New Roman"/>
          <w:snapToGrid w:val="0"/>
          <w:kern w:val="0"/>
          <w:sz w:val="32"/>
          <w:szCs w:val="32"/>
          <w:highlight w:val="none"/>
        </w:rPr>
        <w:t>，影响</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申报的，责任由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承担。</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评价活动</w:t>
      </w:r>
      <w:r>
        <w:rPr>
          <w:rFonts w:hint="default" w:ascii="Times New Roman" w:hAnsi="Times New Roman" w:eastAsia="黑体" w:cs="Times New Roman"/>
          <w:sz w:val="32"/>
          <w:szCs w:val="32"/>
          <w:highlight w:val="none"/>
          <w:lang w:val="en-US" w:eastAsia="zh-CN"/>
        </w:rPr>
        <w:t>的管理要求</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评价活动应接受工业和信息化部、</w:t>
      </w:r>
      <w:r>
        <w:rPr>
          <w:rFonts w:hint="eastAsia" w:ascii="Times New Roman" w:hAnsi="Times New Roman" w:eastAsia="仿宋_GB2312" w:cs="Times New Roman"/>
          <w:snapToGrid w:val="0"/>
          <w:kern w:val="0"/>
          <w:sz w:val="32"/>
          <w:szCs w:val="32"/>
          <w:highlight w:val="none"/>
          <w:lang w:val="en-US" w:eastAsia="zh-CN"/>
        </w:rPr>
        <w:t>地方</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的</w:t>
      </w:r>
      <w:r>
        <w:rPr>
          <w:rFonts w:hint="default" w:ascii="Times New Roman" w:hAnsi="Times New Roman" w:eastAsia="仿宋_GB2312" w:cs="Times New Roman"/>
          <w:snapToGrid w:val="0"/>
          <w:kern w:val="0"/>
          <w:sz w:val="32"/>
          <w:szCs w:val="32"/>
          <w:highlight w:val="none"/>
          <w:lang w:val="en-US" w:eastAsia="zh-CN"/>
        </w:rPr>
        <w:t>管理以及受评价方</w:t>
      </w:r>
      <w:r>
        <w:rPr>
          <w:rFonts w:hint="default" w:ascii="Times New Roman" w:hAnsi="Times New Roman" w:eastAsia="仿宋_GB2312" w:cs="Times New Roman"/>
          <w:snapToGrid w:val="0"/>
          <w:kern w:val="0"/>
          <w:sz w:val="32"/>
          <w:szCs w:val="32"/>
          <w:highlight w:val="none"/>
        </w:rPr>
        <w:t>、公众和社会的监督，确保评价活动的高质和高效，包括：</w:t>
      </w:r>
    </w:p>
    <w:p>
      <w:pPr>
        <w:numPr>
          <w:ilvl w:val="-1"/>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rPr>
        <w:t>（一）评价</w:t>
      </w:r>
      <w:r>
        <w:rPr>
          <w:rFonts w:hint="eastAsia" w:ascii="楷体" w:hAnsi="楷体" w:eastAsia="楷体" w:cs="楷体"/>
          <w:sz w:val="32"/>
          <w:szCs w:val="36"/>
          <w:highlight w:val="none"/>
          <w:lang w:eastAsia="zh-CN"/>
        </w:rPr>
        <w:t>材料</w:t>
      </w:r>
      <w:r>
        <w:rPr>
          <w:rFonts w:hint="eastAsia" w:ascii="楷体" w:hAnsi="楷体" w:eastAsia="楷体" w:cs="楷体"/>
          <w:sz w:val="32"/>
          <w:szCs w:val="36"/>
          <w:highlight w:val="none"/>
        </w:rPr>
        <w:t>保存</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对</w:t>
      </w:r>
      <w:r>
        <w:rPr>
          <w:rFonts w:hint="eastAsia" w:ascii="Times New Roman" w:hAnsi="Times New Roman" w:eastAsia="仿宋_GB2312" w:cs="Times New Roman"/>
          <w:sz w:val="32"/>
          <w:szCs w:val="36"/>
          <w:highlight w:val="none"/>
          <w:lang w:eastAsia="zh-CN"/>
        </w:rPr>
        <w:t>绿色制造</w:t>
      </w:r>
      <w:r>
        <w:rPr>
          <w:rFonts w:hint="default" w:ascii="Times New Roman" w:hAnsi="Times New Roman" w:eastAsia="仿宋_GB2312" w:cs="Times New Roman"/>
          <w:sz w:val="32"/>
          <w:szCs w:val="36"/>
          <w:highlight w:val="none"/>
        </w:rPr>
        <w:t>评价过程中涉及到的重要</w:t>
      </w:r>
      <w:r>
        <w:rPr>
          <w:rFonts w:hint="eastAsia" w:ascii="Times New Roman" w:hAnsi="Times New Roman" w:eastAsia="仿宋_GB2312" w:cs="Times New Roman"/>
          <w:sz w:val="32"/>
          <w:szCs w:val="36"/>
          <w:highlight w:val="none"/>
          <w:lang w:eastAsia="zh-CN"/>
        </w:rPr>
        <w:t>材料</w:t>
      </w:r>
      <w:r>
        <w:rPr>
          <w:rFonts w:hint="default" w:ascii="Times New Roman" w:hAnsi="Times New Roman" w:eastAsia="仿宋_GB2312" w:cs="Times New Roman"/>
          <w:sz w:val="32"/>
          <w:szCs w:val="36"/>
          <w:highlight w:val="none"/>
        </w:rPr>
        <w:t>必要时应在获得受评价方同意后，采用复印、记录、摄影、录像等方式保存相关记录，确保评价结果的真实性、客观性和有效性，并在</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保存</w:t>
      </w:r>
      <w:r>
        <w:rPr>
          <w:rFonts w:hint="default" w:ascii="Times New Roman" w:hAnsi="Times New Roman" w:eastAsia="仿宋_GB2312" w:cs="Times New Roman"/>
          <w:sz w:val="32"/>
          <w:szCs w:val="36"/>
          <w:highlight w:val="none"/>
          <w:lang w:val="en-US" w:eastAsia="zh-CN"/>
        </w:rPr>
        <w:t>三</w:t>
      </w:r>
      <w:r>
        <w:rPr>
          <w:rFonts w:hint="default" w:ascii="Times New Roman" w:hAnsi="Times New Roman" w:eastAsia="仿宋_GB2312" w:cs="Times New Roman"/>
          <w:sz w:val="32"/>
          <w:szCs w:val="36"/>
          <w:highlight w:val="none"/>
        </w:rPr>
        <w:t>年以上的时间。保存的文件至少包括以下几方面：</w:t>
      </w:r>
    </w:p>
    <w:p>
      <w:pPr>
        <w:ind w:firstLine="640" w:firstLineChars="200"/>
        <w:rPr>
          <w:rFonts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val="en-US" w:eastAsia="zh-CN"/>
        </w:rPr>
        <w:t>1.</w:t>
      </w:r>
      <w:r>
        <w:rPr>
          <w:rFonts w:hint="default" w:ascii="Times New Roman" w:hAnsi="Times New Roman" w:eastAsia="仿宋_GB2312" w:cs="Times New Roman"/>
          <w:sz w:val="32"/>
          <w:szCs w:val="36"/>
          <w:highlight w:val="none"/>
        </w:rPr>
        <w:t>首次、末次会议签到表；</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2</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评价报告中涉及的证明材料（可只保留关键页）；</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3</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评价组现场评价照片。</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w:t>
      </w:r>
      <w:r>
        <w:rPr>
          <w:rFonts w:hint="eastAsia" w:ascii="楷体" w:hAnsi="楷体" w:eastAsia="楷体" w:cs="楷体"/>
          <w:sz w:val="32"/>
          <w:szCs w:val="36"/>
          <w:highlight w:val="none"/>
        </w:rPr>
        <w:t>二）保密承诺</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为保证受评价方的保密信息不泄露，同时满足评价需要，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应与受评价方签署保密协议。保密协议一旦签订，必须严格遵守协议，否则受评价方可通过法律途径追究</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责任。</w:t>
      </w:r>
    </w:p>
    <w:p>
      <w:pPr>
        <w:numPr>
          <w:ilvl w:val="-1"/>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eastAsia="zh-CN"/>
        </w:rPr>
        <w:t>（</w:t>
      </w:r>
      <w:r>
        <w:rPr>
          <w:rFonts w:hint="eastAsia" w:ascii="楷体" w:hAnsi="楷体" w:eastAsia="楷体" w:cs="楷体"/>
          <w:sz w:val="32"/>
          <w:szCs w:val="36"/>
          <w:highlight w:val="none"/>
          <w:lang w:val="en-US" w:eastAsia="zh-CN"/>
        </w:rPr>
        <w:t>三）</w:t>
      </w:r>
      <w:r>
        <w:rPr>
          <w:rFonts w:hint="eastAsia" w:ascii="楷体" w:hAnsi="楷体" w:eastAsia="楷体" w:cs="楷体"/>
          <w:sz w:val="32"/>
          <w:szCs w:val="36"/>
          <w:highlight w:val="none"/>
        </w:rPr>
        <w:t>公正性管理</w:t>
      </w:r>
    </w:p>
    <w:p>
      <w:pPr>
        <w:ind w:firstLine="640" w:firstLineChars="200"/>
        <w:jc w:val="left"/>
        <w:rPr>
          <w:rFonts w:hint="default"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不能与所从事的评价活动存在利益冲突。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应评估</w:t>
      </w:r>
      <w:r>
        <w:rPr>
          <w:rFonts w:hint="eastAsia" w:ascii="Times New Roman" w:hAnsi="Times New Roman" w:eastAsia="仿宋_GB2312" w:cs="Times New Roman"/>
          <w:sz w:val="32"/>
          <w:szCs w:val="36"/>
          <w:highlight w:val="none"/>
          <w:lang w:val="en-US" w:eastAsia="zh-CN"/>
        </w:rPr>
        <w:t>自身</w:t>
      </w:r>
      <w:r>
        <w:rPr>
          <w:rFonts w:hint="default" w:ascii="Times New Roman" w:hAnsi="Times New Roman" w:eastAsia="仿宋_GB2312" w:cs="Times New Roman"/>
          <w:sz w:val="32"/>
          <w:szCs w:val="36"/>
          <w:highlight w:val="none"/>
        </w:rPr>
        <w:t>组织结构、活动、财务，人员，营销等方面的公正性风险并提出控制措施。</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评价人员管理</w:t>
      </w:r>
    </w:p>
    <w:p>
      <w:pPr>
        <w:numPr>
          <w:ilvl w:val="-1"/>
          <w:numId w:val="0"/>
        </w:numPr>
        <w:ind w:firstLine="640" w:firstLineChars="200"/>
        <w:jc w:val="left"/>
        <w:rPr>
          <w:rFonts w:hint="default" w:ascii="Times New Roman" w:hAnsi="Times New Roman" w:eastAsia="仿宋_GB2312" w:cs="Times New Roman"/>
          <w:sz w:val="32"/>
          <w:szCs w:val="36"/>
          <w:highlight w:val="none"/>
          <w:lang w:val="en-US" w:eastAsia="zh-CN"/>
        </w:rPr>
      </w:pPr>
      <w:r>
        <w:rPr>
          <w:rFonts w:hint="eastAsia" w:ascii="Times New Roman" w:hAnsi="Times New Roman" w:eastAsia="仿宋_GB2312" w:cs="Times New Roman"/>
          <w:sz w:val="32"/>
          <w:szCs w:val="36"/>
          <w:highlight w:val="none"/>
          <w:lang w:val="en-US" w:eastAsia="zh-CN"/>
        </w:rPr>
        <w:t>第三方机构</w:t>
      </w:r>
      <w:r>
        <w:rPr>
          <w:rFonts w:hint="default" w:ascii="Times New Roman" w:hAnsi="Times New Roman" w:eastAsia="仿宋_GB2312" w:cs="Times New Roman"/>
          <w:sz w:val="32"/>
          <w:szCs w:val="36"/>
          <w:highlight w:val="none"/>
          <w:lang w:val="en-US" w:eastAsia="zh-CN"/>
        </w:rPr>
        <w:t>应建立能力提升计划，通过多样形式不断提高评价技术水平，培养出一批既能深刻理解</w:t>
      </w:r>
      <w:r>
        <w:rPr>
          <w:rFonts w:hint="eastAsia" w:ascii="Times New Roman" w:hAnsi="Times New Roman" w:eastAsia="仿宋_GB2312" w:cs="Times New Roman"/>
          <w:sz w:val="32"/>
          <w:szCs w:val="36"/>
          <w:highlight w:val="none"/>
          <w:lang w:val="en-US" w:eastAsia="zh-CN"/>
        </w:rPr>
        <w:t>绿色制造</w:t>
      </w:r>
      <w:r>
        <w:rPr>
          <w:rFonts w:hint="default" w:ascii="Times New Roman" w:hAnsi="Times New Roman" w:eastAsia="仿宋_GB2312" w:cs="Times New Roman"/>
          <w:sz w:val="32"/>
          <w:szCs w:val="36"/>
          <w:highlight w:val="none"/>
          <w:lang w:val="en-US" w:eastAsia="zh-CN"/>
        </w:rPr>
        <w:t>相关标准要求，又熟悉行业绿色发展情况的专业评价人员，做好已评价单位创建成效经验的总结梳理，通过评价向更多主体传播先进经验。</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信息上报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r>
        <w:rPr>
          <w:rFonts w:hint="eastAsia" w:ascii="Times New Roman" w:hAnsi="Times New Roman" w:eastAsia="仿宋_GB2312" w:cs="Times New Roman"/>
          <w:kern w:val="2"/>
          <w:sz w:val="32"/>
          <w:szCs w:val="36"/>
          <w:highlight w:val="none"/>
          <w:lang w:val="en-US" w:eastAsia="zh-CN" w:bidi="ar-SA"/>
        </w:rPr>
        <w:t>参与绿色制造评价工作的第三方机构应在每年4月30日前</w:t>
      </w:r>
      <w:r>
        <w:rPr>
          <w:rFonts w:hint="default" w:ascii="Times New Roman" w:hAnsi="Times New Roman" w:eastAsia="仿宋_GB2312" w:cs="Times New Roman"/>
          <w:kern w:val="2"/>
          <w:sz w:val="32"/>
          <w:szCs w:val="36"/>
          <w:highlight w:val="none"/>
          <w:lang w:val="en-US" w:eastAsia="zh-CN" w:bidi="ar-SA"/>
        </w:rPr>
        <w:t>通过管理平台</w:t>
      </w:r>
      <w:r>
        <w:rPr>
          <w:rFonts w:hint="eastAsia" w:ascii="Times New Roman" w:hAnsi="Times New Roman" w:eastAsia="仿宋_GB2312" w:cs="Times New Roman"/>
          <w:kern w:val="2"/>
          <w:sz w:val="32"/>
          <w:szCs w:val="36"/>
          <w:highlight w:val="none"/>
          <w:lang w:val="en-US" w:eastAsia="zh-CN" w:bidi="ar-SA"/>
        </w:rPr>
        <w:t>填报“第三方机构年度工作情况”。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70707"/>
          <w:spacing w:val="0"/>
          <w:sz w:val="32"/>
          <w:szCs w:val="32"/>
          <w:highlight w:val="none"/>
        </w:rPr>
      </w:pPr>
      <w:r>
        <w:rPr>
          <w:rFonts w:hint="default" w:ascii="Times New Roman" w:hAnsi="Times New Roman" w:eastAsia="仿宋_GB2312" w:cs="Times New Roman"/>
          <w:i w:val="0"/>
          <w:iCs w:val="0"/>
          <w:caps w:val="0"/>
          <w:color w:val="070707"/>
          <w:spacing w:val="0"/>
          <w:sz w:val="32"/>
          <w:szCs w:val="32"/>
          <w:highlight w:val="none"/>
        </w:rPr>
        <w:t>附件：</w:t>
      </w:r>
      <w:r>
        <w:rPr>
          <w:rFonts w:hint="eastAsia" w:ascii="Times New Roman" w:hAnsi="Times New Roman" w:eastAsia="仿宋_GB2312" w:cs="Times New Roman"/>
          <w:i w:val="0"/>
          <w:iCs w:val="0"/>
          <w:caps w:val="0"/>
          <w:color w:val="070707"/>
          <w:spacing w:val="0"/>
          <w:sz w:val="32"/>
          <w:szCs w:val="32"/>
          <w:highlight w:val="none"/>
          <w:lang w:val="en-US" w:eastAsia="zh-CN"/>
        </w:rPr>
        <w:t>1.</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"https://www.miit.gov.cn/api-gateway/jpaas-web-server/front/document/file-download?fileUrl=/cms_files/filemanager/1226211233/attach/20215/f39e71f8fac14aca9225659199bb5b4e.wps&amp;fileName=1. %E7%9C%81%E7%BA%A7%E5%B7%A5%E4%B8%9A%E5%92%8C%E4%BF%A1%E6%81%AF%E5%8C%96%E4%B8%BB%E7%AE%A1%E9%83%A8%E9%97%A8%E6%8E%A8%E8%8D%90%E6%B1%87%E6%80%BB%E8%A1%A8.wps"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16"/>
          <w:rFonts w:hint="default" w:ascii="Times New Roman" w:hAnsi="Times New Roman" w:eastAsia="仿宋_GB2312" w:cs="Times New Roman"/>
          <w:i w:val="0"/>
          <w:iCs w:val="0"/>
          <w:caps w:val="0"/>
          <w:color w:val="000000"/>
          <w:spacing w:val="0"/>
          <w:sz w:val="32"/>
          <w:szCs w:val="32"/>
          <w:highlight w:val="none"/>
          <w:u w:val="none"/>
        </w:rPr>
        <w:t>1</w:t>
      </w:r>
      <w:r>
        <w:rPr>
          <w:rStyle w:val="16"/>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w:t>
      </w:r>
      <w:r>
        <w:rPr>
          <w:rFonts w:hint="default" w:ascii="Times New Roman" w:hAnsi="Times New Roman" w:eastAsia="仿宋_GB2312" w:cs="Times New Roman"/>
          <w:sz w:val="32"/>
          <w:szCs w:val="36"/>
          <w:highlight w:val="none"/>
          <w:lang w:val="en-US" w:eastAsia="zh-CN"/>
        </w:rPr>
        <w:t>绿色工厂评价</w:t>
      </w:r>
      <w:r>
        <w:rPr>
          <w:rFonts w:hint="eastAsia" w:ascii="Times New Roman" w:hAnsi="Times New Roman" w:eastAsia="仿宋_GB2312" w:cs="Times New Roman"/>
          <w:sz w:val="32"/>
          <w:szCs w:val="36"/>
          <w:highlight w:val="none"/>
          <w:lang w:val="en-US" w:eastAsia="zh-CN"/>
        </w:rPr>
        <w:t>第三方</w:t>
      </w:r>
      <w:r>
        <w:rPr>
          <w:rFonts w:hint="default" w:ascii="Times New Roman" w:hAnsi="Times New Roman" w:eastAsia="仿宋_GB2312" w:cs="Times New Roman"/>
          <w:sz w:val="32"/>
          <w:szCs w:val="36"/>
          <w:highlight w:val="none"/>
          <w:lang w:val="en-US" w:eastAsia="zh-CN"/>
        </w:rPr>
        <w:t>报告模板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1600" w:firstLineChars="500"/>
        <w:jc w:val="both"/>
        <w:textAlignment w:val="auto"/>
        <w:rPr>
          <w:rFonts w:hint="eastAsia" w:ascii="Times New Roman" w:hAnsi="Times New Roman" w:eastAsia="仿宋_GB2312" w:cs="Times New Roman"/>
          <w:i w:val="0"/>
          <w:iCs w:val="0"/>
          <w:caps w:val="0"/>
          <w:color w:val="070707"/>
          <w:spacing w:val="0"/>
          <w:sz w:val="32"/>
          <w:szCs w:val="32"/>
          <w:highlight w:val="none"/>
          <w:lang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1.2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"https://www.miit.gov.cn/api-gateway/jpaas-web-server/front/document/file-download?fileUrl=/cms_files/filemanager/1226211233/attach/20215/3aadd46cd95e492aa8d3f2dab4bf010d.wps&amp;fileName=2. %E7%BB%BF%E8%89%B2%E5%B7%A5%E5%8E%82%E8%87%AA%E8%AF%84%E4%BB%B7%E6%8A%A5%E5%91%8A%E5%8F%8A%E7%AC%AC%E4%B8%89%E6%96%B9%E8%AF%84%E4%BB%B7%E6%8A%A5%E5%91%8A.wps"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绿色工业园区第三方评价报告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firstLine="1600" w:firstLineChars="5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1.3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"https://www.miit.gov.cn/api-gateway/jpaas-web-server/front/document/file-download?fileUrl=/cms_files/filemanager/1226211233/attach/20215/674ac5bffc6e48c19baea06ea8c5c28b.wps&amp;fileName=5. %E7%BB%BF%E8%89%B2%E4%BE%9B%E5%BA%94%E9%93%BE%E7%AE%A1%E7%90%86%E4%BC%81%E4%B8%9A%E8%87%AA%E8%AF%84%E4%BB%B7%E6%8A%A5%E5%91%8A%E5%92%8C%E7%AC%AC%E4%B8%89%E6%96%B9%E8%AF%84%E4%BB%B7%E6%8A%A5%E5%91%8A.wps"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绿色供应链管理企业第三方评价报告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ind w:firstLine="0" w:firstLineChars="0"/>
        <w:jc w:val="left"/>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br w:type="page"/>
      </w:r>
    </w:p>
    <w:p>
      <w:pPr>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件1.1</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eastAsia"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ind w:firstLine="1927" w:firstLineChars="600"/>
        <w:rPr>
          <w:rFonts w:hint="default" w:ascii="Times New Roman" w:hAnsi="Times New Roman" w:eastAsia="仿宋" w:cs="Times New Roman"/>
          <w:b/>
          <w:sz w:val="32"/>
          <w:szCs w:val="32"/>
          <w:highlight w:val="none"/>
        </w:rPr>
      </w:pPr>
    </w:p>
    <w:p>
      <w:pPr>
        <w:spacing w:line="360" w:lineRule="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rPr>
          <w:rFonts w:hint="default" w:ascii="Times New Roman" w:hAnsi="Times New Roman" w:eastAsia="仿宋"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 w:cs="Times New Roman"/>
          <w:sz w:val="30"/>
          <w:highlight w:val="none"/>
        </w:rPr>
      </w:pPr>
      <w:r>
        <w:rPr>
          <w:rFonts w:hint="default" w:ascii="Times New Roman" w:hAnsi="Times New Roman" w:eastAsia="仿宋"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114"/>
        <w:gridCol w:w="1982"/>
        <w:gridCol w:w="11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所属行业</w:t>
            </w:r>
          </w:p>
        </w:tc>
        <w:tc>
          <w:tcPr>
            <w:tcW w:w="2321" w:type="dxa"/>
            <w:gridSpan w:val="2"/>
            <w:vAlign w:val="center"/>
          </w:tcPr>
          <w:p>
            <w:pPr>
              <w:widowControl/>
              <w:jc w:val="center"/>
              <w:rPr>
                <w:rFonts w:hint="eastAsia" w:ascii="Times New Roman" w:hAnsi="Times New Roman" w:eastAsia="仿宋" w:cs="Times New Roman"/>
                <w:color w:val="000000"/>
                <w:kern w:val="0"/>
                <w:sz w:val="24"/>
                <w:highlight w:val="none"/>
                <w:lang w:eastAsia="zh-CN"/>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982"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207" w:type="dxa"/>
            <w:vAlign w:val="center"/>
          </w:tcPr>
          <w:p>
            <w:pPr>
              <w:widowControl/>
              <w:jc w:val="center"/>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rPr>
            </w:pPr>
            <w:r>
              <w:rPr>
                <w:rFonts w:hint="default" w:ascii="Times New Roman" w:hAnsi="Times New Roman" w:eastAsia="仿宋" w:cs="Times New Roman"/>
                <w:color w:val="000000"/>
                <w:kern w:val="0"/>
                <w:sz w:val="24"/>
                <w:highlight w:val="none"/>
                <w:lang w:val="en-US"/>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jc w:val="center"/>
              <w:rPr>
                <w:rFonts w:hint="default" w:ascii="Times New Roman" w:hAnsi="Times New Roman" w:eastAsia="仿宋" w:cs="Times New Roman"/>
                <w:color w:val="000000"/>
                <w:kern w:val="0"/>
                <w:sz w:val="24"/>
                <w:highlight w:val="none"/>
              </w:rPr>
            </w:pPr>
          </w:p>
        </w:tc>
      </w:tr>
    </w:tbl>
    <w:p>
      <w:pPr>
        <w:bidi w:val="0"/>
        <w:rPr>
          <w:rFonts w:hint="default"/>
        </w:rPr>
      </w:pPr>
      <w:r>
        <w:rPr>
          <w:rFonts w:hint="default"/>
        </w:rPr>
        <w:br w:type="page"/>
      </w:r>
    </w:p>
    <w:p>
      <w:pPr>
        <w:snapToGrid w:val="0"/>
        <w:spacing w:line="480" w:lineRule="auto"/>
        <w:jc w:val="center"/>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基本信息、发展现状、工艺产品、生产经营状况以及在绿色发展方面开展的重点工作及取得的成绩</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应按以下内容对工厂进行评价：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.对工厂是否存在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对工厂</w:t>
      </w:r>
      <w:r>
        <w:rPr>
          <w:rFonts w:hint="eastAsia" w:ascii="Times New Roman" w:hAnsi="Times New Roman" w:eastAsia="仿宋" w:cs="Times New Roman"/>
          <w:sz w:val="30"/>
          <w:szCs w:val="30"/>
          <w:highlight w:val="none"/>
          <w:lang w:val="en-US" w:eastAsia="zh-CN"/>
        </w:rPr>
        <w:t>是否符合评价标准中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对工厂基础设施、管理体系、能源</w:t>
      </w:r>
      <w:r>
        <w:rPr>
          <w:rFonts w:hint="default" w:ascii="Times New Roman" w:hAnsi="Times New Roman" w:eastAsia="仿宋" w:cs="Times New Roman"/>
          <w:sz w:val="30"/>
          <w:szCs w:val="30"/>
          <w:highlight w:val="none"/>
          <w:lang w:eastAsia="zh-CN"/>
        </w:rPr>
        <w:t>与</w:t>
      </w:r>
      <w:r>
        <w:rPr>
          <w:rFonts w:hint="default" w:ascii="Times New Roman" w:hAnsi="Times New Roman" w:eastAsia="仿宋" w:cs="Times New Roman"/>
          <w:sz w:val="30"/>
          <w:szCs w:val="30"/>
          <w:highlight w:val="none"/>
        </w:rPr>
        <w:t>资源投入、产品、环境排放、绩效等方面内容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4"/>
        <w:ind w:firstLine="600" w:firstLineChars="200"/>
        <w:rPr>
          <w:rFonts w:hint="default" w:ascii="Times New Roman" w:hAnsi="Times New Roman" w:eastAsia="仿宋" w:cs="Times New Roman"/>
          <w:color w:val="000000"/>
          <w:kern w:val="0"/>
          <w:sz w:val="30"/>
          <w:szCs w:val="30"/>
          <w:highlight w:val="none"/>
          <w:lang w:val="en-US" w:eastAsia="zh-CN"/>
        </w:rPr>
      </w:pPr>
      <w:r>
        <w:rPr>
          <w:rFonts w:hint="eastAsia" w:ascii="Times New Roman" w:hAnsi="Times New Roman" w:eastAsia="仿宋" w:cs="Times New Roman"/>
          <w:sz w:val="30"/>
          <w:szCs w:val="30"/>
          <w:highlight w:val="none"/>
          <w:lang w:val="en-US" w:eastAsia="zh-CN"/>
        </w:rPr>
        <w:t>4.工厂在“零碳”工厂创建方面开展的工作情况（加分项）。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对工厂是否符合绿色工厂要求进行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eastAsia" w:eastAsiaTheme="minorEastAsia"/>
          <w:highlight w:val="none"/>
          <w:lang w:val="en-US" w:eastAsia="zh-CN"/>
        </w:rPr>
        <w:sectPr>
          <w:footerReference r:id="rId3" w:type="default"/>
          <w:pgSz w:w="11906" w:h="16838"/>
          <w:pgMar w:top="1701" w:right="1587" w:bottom="1587" w:left="1587" w:header="851" w:footer="850"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sz w:val="30"/>
          <w:szCs w:val="30"/>
          <w:highlight w:val="none"/>
        </w:rPr>
        <w:t>列出第三方机构满足条件的资质符合性证明材料。</w:t>
      </w: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11"/>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11"/>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4"/>
        <w:gridCol w:w="3"/>
        <w:gridCol w:w="1275"/>
        <w:gridCol w:w="851"/>
        <w:gridCol w:w="82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gridSpan w:val="2"/>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27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822"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88"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三同时制度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工业项目建设用地控制指标”等产业政策和有关要求。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pStyle w:val="20"/>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w:t>
            </w:r>
            <w:r>
              <w:rPr>
                <w:rFonts w:hint="eastAsia" w:ascii="Times New Roman" w:hAnsi="Times New Roman" w:eastAsia="仿宋" w:cs="Times New Roman"/>
                <w:szCs w:val="22"/>
                <w:highlight w:val="none"/>
                <w:lang w:val="en-US" w:eastAsia="zh-CN"/>
              </w:rPr>
              <w:t xml:space="preserve"> </w:t>
            </w:r>
            <w:r>
              <w:rPr>
                <w:rFonts w:hint="default" w:ascii="Times New Roman" w:hAnsi="Times New Roman" w:eastAsia="仿宋" w:cs="Times New Roman"/>
                <w:szCs w:val="22"/>
                <w:highlight w:val="none"/>
              </w:rPr>
              <w:t>24789等要求配备、使用和管理能源、水以及其他资源的计量器具和装置。</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lang w:eastAsia="zh-CN"/>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w:t>
            </w:r>
            <w:r>
              <w:rPr>
                <w:rFonts w:hint="eastAsia" w:ascii="Times New Roman" w:hAnsi="Times New Roman" w:eastAsia="仿宋" w:cs="Times New Roman"/>
                <w:kern w:val="0"/>
                <w:sz w:val="24"/>
                <w:highlight w:val="none"/>
                <w:lang w:eastAsia="zh-CN"/>
              </w:rPr>
              <w:t>，尤其是</w:t>
            </w:r>
            <w:r>
              <w:rPr>
                <w:rFonts w:hint="default" w:ascii="Times New Roman" w:hAnsi="Times New Roman" w:eastAsia="仿宋" w:cs="Times New Roman"/>
                <w:kern w:val="0"/>
                <w:sz w:val="24"/>
                <w:highlight w:val="none"/>
              </w:rPr>
              <w:t>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jc w:val="cente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gridSpan w:val="2"/>
            <w:vMerge w:val="restart"/>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48" w:hRule="atLeast"/>
        </w:trPr>
        <w:tc>
          <w:tcPr>
            <w:tcW w:w="2974" w:type="dxa"/>
            <w:gridSpan w:val="3"/>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加分项</w:t>
            </w:r>
          </w:p>
        </w:tc>
        <w:tc>
          <w:tcPr>
            <w:tcW w:w="4960"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“零碳”工厂创建方面开展的工作情况</w:t>
            </w:r>
          </w:p>
        </w:tc>
        <w:tc>
          <w:tcPr>
            <w:tcW w:w="2404" w:type="dxa"/>
            <w:vAlign w:val="center"/>
          </w:tcPr>
          <w:p>
            <w:pPr>
              <w:jc w:val="center"/>
              <w:rPr>
                <w:rFonts w:hint="eastAsia" w:ascii="Times New Roman" w:hAnsi="Times New Roman" w:eastAsia="仿宋" w:cs="Times New Roman"/>
                <w:color w:val="000000"/>
                <w:sz w:val="24"/>
                <w:szCs w:val="24"/>
                <w:highlight w:val="yellow"/>
                <w:lang w:eastAsia="zh-CN"/>
              </w:rPr>
            </w:pPr>
          </w:p>
        </w:tc>
        <w:tc>
          <w:tcPr>
            <w:tcW w:w="1278" w:type="dxa"/>
            <w:gridSpan w:val="2"/>
            <w:vAlign w:val="center"/>
          </w:tcPr>
          <w:p>
            <w:pPr>
              <w:jc w:val="center"/>
              <w:rPr>
                <w:rFonts w:hint="eastAsia" w:ascii="Times New Roman" w:hAnsi="Times New Roman" w:eastAsia="仿宋" w:cs="Times New Roman"/>
                <w:color w:val="000000"/>
                <w:sz w:val="24"/>
                <w:szCs w:val="24"/>
                <w:highlight w:val="yellow"/>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3</w:t>
            </w:r>
          </w:p>
        </w:tc>
        <w:tc>
          <w:tcPr>
            <w:tcW w:w="822"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100%</w:t>
            </w:r>
          </w:p>
        </w:tc>
        <w:tc>
          <w:tcPr>
            <w:tcW w:w="788" w:type="dxa"/>
            <w:vAlign w:val="center"/>
          </w:tcPr>
          <w:p>
            <w:pPr>
              <w:jc w:val="center"/>
              <w:rPr>
                <w:rFonts w:hint="eastAsia" w:ascii="Times New Roman" w:hAnsi="Times New Roman" w:eastAsia="仿宋" w:cs="Times New Roman"/>
                <w:color w:val="000000"/>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289" w:type="dxa"/>
            <w:gridSpan w:val="9"/>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88" w:type="dxa"/>
            <w:vAlign w:val="center"/>
          </w:tcPr>
          <w:p>
            <w:pPr>
              <w:jc w:val="left"/>
              <w:rPr>
                <w:rFonts w:hint="default" w:ascii="Times New Roman" w:hAnsi="Times New Roman" w:eastAsia="仿宋" w:cs="Times New Roman"/>
                <w:color w:val="000000"/>
                <w:sz w:val="24"/>
                <w:szCs w:val="24"/>
                <w:highlight w:val="none"/>
              </w:rPr>
            </w:pPr>
          </w:p>
        </w:tc>
      </w:tr>
    </w:tbl>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pPr>
        <w:rPr>
          <w:rFonts w:ascii="Times New Roman" w:hAnsi="Times New Roman" w:cs="Times New Roman"/>
          <w:highlight w:val="none"/>
        </w:rPr>
        <w:sectPr>
          <w:pgSz w:w="16838" w:h="11906" w:orient="landscape"/>
          <w:pgMar w:top="1800" w:right="1440" w:bottom="1800" w:left="1440" w:header="851" w:footer="992" w:gutter="0"/>
          <w:pgNumType w:fmt="decimal"/>
          <w:cols w:space="720" w:num="1"/>
          <w:docGrid w:type="lines" w:linePitch="312" w:charSpace="0"/>
        </w:sectPr>
      </w:pPr>
    </w:p>
    <w:p>
      <w:pPr>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件1.2</w:t>
      </w: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rPr>
          <w:rFonts w:hint="default" w:ascii="Times New Roman" w:hAnsi="Times New Roman" w:eastAsia="方正小标宋简体" w:cs="Times New Roman"/>
          <w:bCs/>
          <w:sz w:val="52"/>
          <w:szCs w:val="52"/>
          <w:highlight w:val="none"/>
        </w:rPr>
      </w:pPr>
    </w:p>
    <w:p>
      <w:pPr>
        <w:spacing w:line="360" w:lineRule="auto"/>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绿色工业园区第三方评价报告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园  区   名  称：</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 w:cs="Times New Roman"/>
          <w:sz w:val="32"/>
          <w:szCs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_GB2312" w:cs="Times New Roman"/>
          <w:sz w:val="32"/>
          <w:szCs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jc w:val="center"/>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工业和信息化部制</w:t>
      </w:r>
    </w:p>
    <w:p>
      <w:pPr>
        <w:jc w:val="center"/>
        <w:rPr>
          <w:rFonts w:hint="default" w:ascii="Times New Roman" w:hAnsi="Times New Roman" w:eastAsia="仿宋_GB2312" w:cs="Times New Roman"/>
          <w:sz w:val="30"/>
          <w:szCs w:val="30"/>
          <w:highlight w:val="none"/>
        </w:rPr>
      </w:pPr>
      <w:r>
        <w:rPr>
          <w:rFonts w:hint="default" w:ascii="Times New Roman" w:hAnsi="Times New Roman" w:eastAsia="仿宋" w:cs="Times New Roman"/>
          <w:sz w:val="30"/>
          <w:szCs w:val="30"/>
          <w:highlight w:val="none"/>
        </w:rPr>
        <w:t>20  年    月    日</w:t>
      </w:r>
    </w:p>
    <w:p>
      <w:pPr>
        <w:rPr>
          <w:rFonts w:hint="default" w:ascii="Times New Roman" w:hAnsi="Times New Roman" w:eastAsia="仿宋_GB2312" w:cs="Times New Roman"/>
          <w:sz w:val="32"/>
          <w:szCs w:val="32"/>
          <w:highlight w:val="none"/>
        </w:rPr>
        <w:sectPr>
          <w:type w:val="continuous"/>
          <w:pgSz w:w="11906" w:h="16838"/>
          <w:pgMar w:top="1440" w:right="1800" w:bottom="1440" w:left="1800" w:header="851" w:footer="992" w:gutter="0"/>
          <w:pgNumType w:fmt="decimal"/>
          <w:cols w:space="720" w:num="1"/>
          <w:docGrid w:type="lines" w:linePitch="312" w:charSpace="0"/>
        </w:sectPr>
      </w:pPr>
    </w:p>
    <w:p>
      <w:pPr>
        <w:spacing w:line="360" w:lineRule="auto"/>
        <w:jc w:val="center"/>
        <w:rPr>
          <w:rFonts w:hint="default" w:ascii="Times New Roman" w:hAnsi="Times New Roman" w:eastAsia="仿宋_GB2312" w:cs="Times New Roman"/>
          <w:sz w:val="28"/>
          <w:szCs w:val="28"/>
          <w:highlight w:val="none"/>
        </w:rPr>
      </w:pP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975"/>
        <w:gridCol w:w="63"/>
        <w:gridCol w:w="292"/>
        <w:gridCol w:w="1620"/>
        <w:gridCol w:w="45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vAlign w:val="center"/>
          </w:tcPr>
          <w:p>
            <w:pPr>
              <w:spacing w:line="360" w:lineRule="auto"/>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color w:val="000000"/>
                <w:kern w:val="0"/>
                <w:sz w:val="24"/>
                <w:highlight w:val="none"/>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kern w:val="0"/>
                <w:sz w:val="24"/>
                <w:szCs w:val="24"/>
                <w:highlight w:val="none"/>
              </w:rPr>
              <w:t>园区名称</w:t>
            </w:r>
          </w:p>
        </w:tc>
        <w:tc>
          <w:tcPr>
            <w:tcW w:w="5926" w:type="dxa"/>
            <w:gridSpan w:val="6"/>
            <w:vAlign w:val="top"/>
          </w:tcPr>
          <w:p>
            <w:pPr>
              <w:spacing w:line="360" w:lineRule="auto"/>
              <w:jc w:val="center"/>
              <w:rPr>
                <w:rFonts w:hint="default" w:ascii="Times New Roman" w:hAnsi="Times New Roman" w:eastAsia="仿宋"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园区级别</w:t>
            </w:r>
          </w:p>
        </w:tc>
        <w:tc>
          <w:tcPr>
            <w:tcW w:w="2330" w:type="dxa"/>
            <w:gridSpan w:val="3"/>
            <w:vAlign w:val="center"/>
          </w:tcPr>
          <w:p>
            <w:pPr>
              <w:pStyle w:val="17"/>
              <w:numPr>
                <w:ilvl w:val="0"/>
                <w:numId w:val="0"/>
              </w:num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 xml:space="preserve">□ 国家级 □ 省级    </w:t>
            </w:r>
          </w:p>
        </w:tc>
        <w:tc>
          <w:tcPr>
            <w:tcW w:w="2075" w:type="dxa"/>
            <w:gridSpan w:val="2"/>
            <w:vAlign w:val="center"/>
          </w:tcPr>
          <w:p>
            <w:pPr>
              <w:pStyle w:val="17"/>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园区内企业数量</w:t>
            </w:r>
          </w:p>
        </w:tc>
        <w:tc>
          <w:tcPr>
            <w:tcW w:w="1521" w:type="dxa"/>
            <w:vAlign w:val="center"/>
          </w:tcPr>
          <w:p>
            <w:pPr>
              <w:pStyle w:val="17"/>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园区地址</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lang w:val="en-US"/>
              </w:rPr>
              <w:t>申报单位</w:t>
            </w:r>
            <w:r>
              <w:rPr>
                <w:rFonts w:hint="default" w:ascii="Times New Roman" w:hAnsi="Times New Roman" w:eastAsia="仿宋" w:cs="Times New Roman"/>
                <w:sz w:val="24"/>
                <w:szCs w:val="24"/>
                <w:highlight w:val="none"/>
              </w:rPr>
              <w:t>联系人</w:t>
            </w:r>
          </w:p>
        </w:tc>
        <w:tc>
          <w:tcPr>
            <w:tcW w:w="1975" w:type="dxa"/>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职务</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联系电话</w:t>
            </w:r>
          </w:p>
        </w:tc>
        <w:tc>
          <w:tcPr>
            <w:tcW w:w="1975" w:type="dxa"/>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电子邮箱</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园区内绿色工厂数量</w:t>
            </w:r>
          </w:p>
        </w:tc>
        <w:tc>
          <w:tcPr>
            <w:tcW w:w="5926" w:type="dxa"/>
            <w:gridSpan w:val="6"/>
            <w:vAlign w:val="center"/>
          </w:tcPr>
          <w:p>
            <w:pPr>
              <w:spacing w:line="360" w:lineRule="auto"/>
              <w:jc w:val="center"/>
              <w:rPr>
                <w:rFonts w:hint="default" w:ascii="Times New Roman" w:hAnsi="Times New Roman" w:eastAsia="仿宋" w:cs="Times New Roman"/>
                <w:kern w:val="0"/>
                <w:sz w:val="24"/>
                <w:szCs w:val="24"/>
                <w:highlight w:val="none"/>
                <w:u w:val="single"/>
                <w:lang w:val="en-US" w:eastAsia="zh-CN"/>
              </w:rPr>
            </w:pPr>
            <w:r>
              <w:rPr>
                <w:rFonts w:hint="eastAsia" w:ascii="Times New Roman" w:hAnsi="Times New Roman" w:eastAsia="仿宋" w:cs="Times New Roman"/>
                <w:kern w:val="0"/>
                <w:sz w:val="24"/>
                <w:szCs w:val="24"/>
                <w:highlight w:val="none"/>
                <w:lang w:val="en-US" w:eastAsia="zh-CN"/>
              </w:rPr>
              <w:t>国家：</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省：</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市：</w:t>
            </w:r>
            <w:r>
              <w:rPr>
                <w:rFonts w:hint="eastAsia" w:ascii="Times New Roman" w:hAnsi="Times New Roman" w:eastAsia="仿宋" w:cs="Times New Roman"/>
                <w:kern w:val="0"/>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tcBorders>
              <w:bottom w:val="nil"/>
            </w:tcBorders>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第三方机构名称</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第三方机构地址</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机构法定代表人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法定代表人</w:t>
            </w:r>
            <w:r>
              <w:rPr>
                <w:rFonts w:hint="default" w:ascii="Times New Roman" w:hAnsi="Times New Roman" w:eastAsia="仿宋" w:cs="Times New Roman"/>
                <w:kern w:val="0"/>
                <w:sz w:val="24"/>
                <w:szCs w:val="24"/>
                <w:highlight w:val="none"/>
              </w:rPr>
              <w:t>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机构联系人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联系人电话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报告编制负责人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负责人电话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7"/>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bCs/>
                <w:kern w:val="0"/>
                <w:sz w:val="24"/>
                <w:szCs w:val="24"/>
                <w:highlight w:val="none"/>
              </w:rPr>
              <w:t>三、绿色工业园区评价结果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基本要求</w:t>
            </w:r>
          </w:p>
        </w:tc>
        <w:tc>
          <w:tcPr>
            <w:tcW w:w="2038" w:type="dxa"/>
            <w:gridSpan w:val="2"/>
            <w:vAlign w:val="top"/>
          </w:tcPr>
          <w:p>
            <w:pPr>
              <w:spacing w:line="36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  □不符合</w:t>
            </w:r>
          </w:p>
        </w:tc>
        <w:tc>
          <w:tcPr>
            <w:tcW w:w="1912"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近三年平均得分</w:t>
            </w:r>
          </w:p>
        </w:tc>
        <w:tc>
          <w:tcPr>
            <w:tcW w:w="1976" w:type="dxa"/>
            <w:gridSpan w:val="2"/>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restart"/>
            <w:vAlign w:val="center"/>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w:t>
            </w:r>
            <w:r>
              <w:rPr>
                <w:rFonts w:hint="default" w:ascii="Times New Roman" w:hAnsi="Times New Roman" w:eastAsia="仿宋" w:cs="Times New Roman"/>
                <w:sz w:val="24"/>
                <w:highlight w:val="none"/>
              </w:rPr>
              <w:t>工业园区绿色指数</w:t>
            </w:r>
            <w:r>
              <w:rPr>
                <w:rFonts w:hint="default" w:ascii="Times New Roman" w:hAnsi="Times New Roman" w:eastAsia="仿宋" w:cs="Times New Roman"/>
                <w:sz w:val="24"/>
                <w:szCs w:val="24"/>
                <w:highlight w:val="none"/>
              </w:rPr>
              <w:t>情况</w:t>
            </w: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第1年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第2年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第3年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596" w:type="dxa"/>
            <w:vAlign w:val="top"/>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val="en-US" w:eastAsia="zh-CN"/>
              </w:rPr>
              <w:t>亮点</w:t>
            </w:r>
          </w:p>
        </w:tc>
        <w:tc>
          <w:tcPr>
            <w:tcW w:w="5926" w:type="dxa"/>
            <w:gridSpan w:val="6"/>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op w:val="nil"/>
            </w:tcBorders>
            <w:vAlign w:val="top"/>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8" w:firstLineChars="2000"/>
              <w:rPr>
                <w:rFonts w:ascii="Times New Roman" w:hAnsi="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val="0"/>
        <w:spacing w:before="313" w:beforeLines="100" w:line="480" w:lineRule="auto"/>
        <w:ind w:left="0" w:leftChars="0" w:right="0" w:rightChars="0" w:firstLine="0" w:firstLineChars="0"/>
        <w:jc w:val="center"/>
        <w:textAlignment w:val="auto"/>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w:t>
      </w:r>
      <w:r>
        <w:rPr>
          <w:rFonts w:hint="default" w:ascii="Times New Roman" w:hAnsi="Times New Roman" w:eastAsia="黑体" w:cs="Times New Roman"/>
          <w:bCs/>
          <w:sz w:val="36"/>
          <w:szCs w:val="36"/>
          <w:highlight w:val="none"/>
        </w:rPr>
        <w:t>工业</w:t>
      </w:r>
      <w:r>
        <w:rPr>
          <w:rFonts w:hint="default" w:ascii="Times New Roman" w:hAnsi="Times New Roman" w:eastAsia="黑体" w:cs="Times New Roman"/>
          <w:bCs/>
          <w:color w:val="000000"/>
          <w:sz w:val="36"/>
          <w:highlight w:val="none"/>
        </w:rPr>
        <w:t>园区评价报告（格式）</w:t>
      </w:r>
    </w:p>
    <w:p>
      <w:pPr>
        <w:snapToGrid w:val="0"/>
        <w:spacing w:line="360" w:lineRule="auto"/>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w:t>
      </w:r>
      <w:r>
        <w:rPr>
          <w:rFonts w:hint="eastAsia" w:ascii="Times New Roman" w:hAnsi="Times New Roman" w:eastAsia="黑体" w:cs="Times New Roman"/>
          <w:bCs/>
          <w:sz w:val="32"/>
          <w:szCs w:val="32"/>
          <w:highlight w:val="none"/>
          <w:lang w:val="en-US" w:eastAsia="zh-CN"/>
        </w:rPr>
        <w:t>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基本信息、功能区划、产业发展现状以及在绿色发展方面开展的重点工作及取得的成绩</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.对园区是否存在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对园区</w:t>
      </w:r>
      <w:r>
        <w:rPr>
          <w:rFonts w:hint="eastAsia" w:ascii="Times New Roman" w:hAnsi="Times New Roman" w:eastAsia="仿宋" w:cs="Times New Roman"/>
          <w:sz w:val="30"/>
          <w:szCs w:val="30"/>
          <w:highlight w:val="none"/>
          <w:lang w:val="en-US" w:eastAsia="zh-CN"/>
        </w:rPr>
        <w:t>是否符合《</w:t>
      </w:r>
      <w:r>
        <w:rPr>
          <w:rFonts w:hint="eastAsia" w:ascii="Times New Roman" w:hAnsi="Times New Roman" w:eastAsia="仿宋" w:cs="Times New Roman"/>
          <w:bCs w:val="0"/>
          <w:sz w:val="30"/>
          <w:szCs w:val="30"/>
          <w:highlight w:val="none"/>
        </w:rPr>
        <w:t>绿色</w:t>
      </w:r>
      <w:r>
        <w:rPr>
          <w:rFonts w:hint="eastAsia" w:ascii="Times New Roman" w:hAnsi="Times New Roman" w:eastAsia="仿宋" w:cs="Times New Roman"/>
          <w:bCs w:val="0"/>
          <w:sz w:val="30"/>
          <w:szCs w:val="30"/>
          <w:highlight w:val="none"/>
          <w:lang w:val="en-US"/>
        </w:rPr>
        <w:t>工业</w:t>
      </w:r>
      <w:r>
        <w:rPr>
          <w:rFonts w:hint="eastAsia" w:ascii="Times New Roman" w:hAnsi="Times New Roman" w:eastAsia="仿宋" w:cs="Times New Roman"/>
          <w:bCs w:val="0"/>
          <w:sz w:val="30"/>
          <w:szCs w:val="30"/>
          <w:highlight w:val="none"/>
        </w:rPr>
        <w:t>园区评价要求</w:t>
      </w:r>
      <w:r>
        <w:rPr>
          <w:rFonts w:hint="eastAsia" w:ascii="Times New Roman" w:hAnsi="Times New Roman" w:eastAsia="仿宋" w:cs="Times New Roman"/>
          <w:bCs w:val="0"/>
          <w:sz w:val="30"/>
          <w:szCs w:val="30"/>
          <w:highlight w:val="none"/>
          <w:lang w:eastAsia="zh-CN"/>
        </w:rPr>
        <w:t>》</w:t>
      </w:r>
      <w:r>
        <w:rPr>
          <w:rFonts w:hint="eastAsia" w:ascii="Times New Roman" w:hAnsi="Times New Roman" w:eastAsia="仿宋" w:cs="Times New Roman"/>
          <w:bCs w:val="0"/>
          <w:sz w:val="30"/>
          <w:szCs w:val="30"/>
          <w:highlight w:val="none"/>
          <w:lang w:val="en-US" w:eastAsia="zh-CN"/>
        </w:rPr>
        <w:t>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能源利用、资源利用、基础设施、产业、生态环境、运行管理等方面内容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是否符合绿色</w:t>
      </w:r>
      <w:r>
        <w:rPr>
          <w:rFonts w:hint="eastAsia" w:ascii="Times New Roman" w:hAnsi="Times New Roman" w:eastAsia="仿宋" w:cs="Times New Roman"/>
          <w:sz w:val="30"/>
          <w:szCs w:val="30"/>
          <w:highlight w:val="none"/>
          <w:lang w:val="en-US" w:eastAsia="zh-CN"/>
        </w:rPr>
        <w:t>工业</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eastAsia" w:ascii="Times New Roman" w:hAnsi="Times New Roman" w:eastAsia="仿宋" w:cs="Times New Roman"/>
          <w:sz w:val="30"/>
          <w:szCs w:val="30"/>
          <w:highlight w:val="none"/>
          <w:lang w:val="en-US" w:eastAsia="zh-CN"/>
        </w:rPr>
        <w:t>（即</w:t>
      </w:r>
      <w:r>
        <w:rPr>
          <w:rFonts w:hint="eastAsia" w:ascii="Times New Roman" w:hAnsi="Times New Roman" w:eastAsia="仿宋" w:cs="Times New Roman"/>
          <w:sz w:val="30"/>
          <w:szCs w:val="30"/>
          <w:highlight w:val="none"/>
        </w:rPr>
        <w:t>工业园区绿色指数</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2.1及附表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rPr>
          <w:rFonts w:hint="default"/>
          <w:highlight w:val="none"/>
        </w:rPr>
      </w:pPr>
    </w:p>
    <w:p>
      <w:pPr>
        <w:rPr>
          <w:rFonts w:hint="default" w:ascii="Times New Roman" w:hAnsi="Times New Roman" w:eastAsia="仿宋" w:cs="Times New Roman"/>
          <w:sz w:val="30"/>
          <w:szCs w:val="30"/>
          <w:highlight w:val="none"/>
          <w:lang w:eastAsia="zh-CN"/>
        </w:rPr>
      </w:pPr>
      <w:r>
        <w:rPr>
          <w:rFonts w:hint="default" w:ascii="Times New Roman" w:hAnsi="Times New Roman" w:eastAsia="仿宋" w:cs="Times New Roman"/>
          <w:sz w:val="30"/>
          <w:szCs w:val="30"/>
          <w:highlight w:val="none"/>
          <w:lang w:eastAsia="zh-CN"/>
        </w:rPr>
        <w:br w:type="page"/>
      </w:r>
    </w:p>
    <w:p>
      <w:pPr>
        <w:ind w:firstLine="0" w:firstLineChars="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园区基本要求</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136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基本要求</w:t>
            </w:r>
          </w:p>
        </w:tc>
        <w:tc>
          <w:tcPr>
            <w:tcW w:w="1361"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29"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bCs w:val="0"/>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国家和地方绿色、循环和低碳相关法律法规、政策和标准应得到有效的贯彻执行。</w:t>
            </w:r>
            <w:r>
              <w:rPr>
                <w:rFonts w:hint="eastAsia" w:ascii="Times New Roman" w:hAnsi="Times New Roman" w:eastAsia="仿宋" w:cs="Times New Roman"/>
                <w:kern w:val="0"/>
                <w:sz w:val="24"/>
                <w:szCs w:val="24"/>
                <w:highlight w:val="none"/>
                <w:lang w:val="en-US" w:eastAsia="zh-CN"/>
              </w:rPr>
              <w:t>涉及化工园区的应通过省级人民政府或其授权机构认定。</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近三年，未发生重大污染事故或重大生态破坏事件，完成国家或地方政府下达的节能减排指标，碳排放强度持续下降。</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环境质量达到国家或地方规定的环境功能区环境质量标准，园区内企业污染物达标排放，各类重点污染物排放总量均不超过国家或地方的总量控制要求。</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32" w:type="dxa"/>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园区重点企业100%实施清洁生产审核。</w:t>
            </w:r>
          </w:p>
        </w:tc>
        <w:tc>
          <w:tcPr>
            <w:tcW w:w="1361" w:type="dxa"/>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园区企业不应使用国家列入淘汰目录的落后生产技术、工艺和设备，不应生产国家列入淘汰目录的产品。</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园区建立履行绿色发展工作职责的专门机构、配备2名以上专职工作人员。</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鼓励园区建立并运行环境管理体系和能源管理体系，建立园区能源监测管理平台。</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鼓励园区建设并运行风能、太阳能等可再生能源应用设施。</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bl>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val="en-US"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p>
    <w:p>
      <w:pPr>
        <w:snapToGrid w:val="0"/>
        <w:spacing w:line="360" w:lineRule="auto"/>
        <w:ind w:firstLine="0" w:firstLineChars="0"/>
        <w:jc w:val="center"/>
        <w:rPr>
          <w:rFonts w:hint="default"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园区评价指标第三方评价表</w:t>
      </w: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第1年（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第2年（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第3年（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rPr>
          <w:rFonts w:hint="eastAsia"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rPr>
        <w:t>注：单项指标最高得分不超过120分</w:t>
      </w:r>
      <w:r>
        <w:rPr>
          <w:rFonts w:hint="eastAsia" w:ascii="Times New Roman" w:hAnsi="Times New Roman" w:eastAsia="仿宋" w:cs="Times New Roman"/>
          <w:kern w:val="0"/>
          <w:sz w:val="24"/>
          <w:szCs w:val="24"/>
          <w:highlight w:val="none"/>
          <w:lang w:eastAsia="zh-CN"/>
        </w:rPr>
        <w:t>。</w:t>
      </w:r>
    </w:p>
    <w:p>
      <w:pPr>
        <w:rPr>
          <w:rFonts w:hint="default" w:ascii="Times New Roman" w:hAnsi="Times New Roman" w:cs="Times New Roman"/>
          <w:highlight w:val="none"/>
        </w:rPr>
      </w:pPr>
      <w:r>
        <w:rPr>
          <w:rFonts w:hint="default" w:ascii="Times New Roman" w:hAnsi="Times New Roman" w:cs="Times New Roman"/>
          <w:highlight w:val="none"/>
        </w:rPr>
        <w:br w:type="page"/>
      </w:r>
    </w:p>
    <w:p>
      <w:pPr>
        <w:outlineLvl w:val="1"/>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件1.3</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绿色供应链管理</w:t>
      </w:r>
      <w:r>
        <w:rPr>
          <w:rFonts w:hint="default" w:ascii="Times New Roman" w:hAnsi="Times New Roman" w:eastAsia="黑体" w:cs="Times New Roman"/>
          <w:bCs/>
          <w:sz w:val="52"/>
          <w:szCs w:val="52"/>
          <w:highlight w:val="none"/>
          <w:lang w:eastAsia="zh-CN"/>
        </w:rPr>
        <w:t>企业</w:t>
      </w: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szCs w:val="32"/>
          <w:highlight w:val="none"/>
        </w:rPr>
      </w:pPr>
    </w:p>
    <w:p>
      <w:pPr>
        <w:rPr>
          <w:rFonts w:hint="default" w:ascii="Times New Roman" w:hAnsi="Times New Roman" w:eastAsia="方正仿宋简体" w:cs="Times New Roman"/>
          <w:sz w:val="32"/>
          <w:szCs w:val="32"/>
          <w:highlight w:val="none"/>
        </w:rPr>
      </w:pPr>
    </w:p>
    <w:p>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2265680</wp:posOffset>
                </wp:positionH>
                <wp:positionV relativeFrom="paragraph">
                  <wp:posOffset>285115</wp:posOffset>
                </wp:positionV>
                <wp:extent cx="2733040" cy="635"/>
                <wp:effectExtent l="0" t="4445" r="635" b="8890"/>
                <wp:wrapNone/>
                <wp:docPr id="7" name="直接箭头连接符 7"/>
                <wp:cNvGraphicFramePr/>
                <a:graphic xmlns:a="http://schemas.openxmlformats.org/drawingml/2006/main">
                  <a:graphicData uri="http://schemas.microsoft.com/office/word/2010/wordprocessingShape">
                    <wps:wsp>
                      <wps:cNvCnPr/>
                      <wps:spPr>
                        <a:xfrm flipV="true">
                          <a:off x="0" y="0"/>
                          <a:ext cx="27330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8.4pt;margin-top:22.45pt;height:0.05pt;width:215.2pt;z-index:251662336;mso-width-relative:page;mso-height-relative:page;" filled="f" stroked="t" coordsize="21600,21600" o:gfxdata="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SMXT0NgAAAAJAQAADwAAAAAAAAABACAAAAA4AAAAZHJz&#10;L2Rvd25yZXYueG1sUEsBAhQAFAAAAAgAh07iQA0//YnuAQAArQMAAA4AAAAAAAAAAQAgAAAAPQEA&#10;AGRycy9lMm9Eb2MueG1sUEsFBgAAAAAGAAYAWQEAAJ0FA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企  业  名  称：</w:t>
      </w:r>
    </w:p>
    <w:p>
      <w:pPr>
        <w:spacing w:line="360" w:lineRule="auto"/>
        <w:ind w:firstLine="1920" w:firstLineChars="600"/>
        <w:rPr>
          <w:rFonts w:hint="default" w:ascii="Times New Roman" w:hAnsi="Times New Roman" w:eastAsia="仿宋" w:cs="Times New Roman"/>
          <w:sz w:val="32"/>
          <w:szCs w:val="32"/>
          <w:highlight w:val="none"/>
        </w:rPr>
      </w:pPr>
    </w:p>
    <w:p>
      <w:pPr>
        <w:spacing w:line="360" w:lineRule="auto"/>
        <w:ind w:firstLine="960" w:firstLineChars="300"/>
        <w:rPr>
          <w:rFonts w:hint="eastAsia"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3360" behindDoc="0" locked="0" layoutInCell="1" allowOverlap="1">
                <wp:simplePos x="0" y="0"/>
                <wp:positionH relativeFrom="column">
                  <wp:posOffset>2242820</wp:posOffset>
                </wp:positionH>
                <wp:positionV relativeFrom="paragraph">
                  <wp:posOffset>300355</wp:posOffset>
                </wp:positionV>
                <wp:extent cx="2700020" cy="635"/>
                <wp:effectExtent l="0" t="4445" r="5080" b="8890"/>
                <wp:wrapNone/>
                <wp:docPr id="8" name="直接箭头连接符 8"/>
                <wp:cNvGraphicFramePr/>
                <a:graphic xmlns:a="http://schemas.openxmlformats.org/drawingml/2006/main">
                  <a:graphicData uri="http://schemas.microsoft.com/office/word/2010/wordprocessingShape">
                    <wps:wsp>
                      <wps:cNvCnPr/>
                      <wps:spPr>
                        <a:xfrm flipV="true">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6.6pt;margin-top:23.65pt;height:0.05pt;width:212.6pt;z-index:251663360;mso-width-relative:page;mso-height-relative:page;" filled="f" stroked="t" coordsize="21600,21600" o:gfxdata="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EojXF/XAAAACQEAAA8AAAAAAAAAAQAgAAAAOAAAAGRycy9k&#10;b3ducmV2LnhtbFBLAQIUABQAAAAIAIdO4kDzUcqE7QEAAK0DAAAOAAAAAAAAAAEAIAAAADwBAABk&#10;cnMvZTJvRG9jLnhtbFBLBQYAAAAABgAGAFkBAACbBQ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第三方机构名称</w:t>
      </w:r>
      <w:r>
        <w:rPr>
          <w:rFonts w:hint="eastAsia" w:ascii="Times New Roman" w:hAnsi="Times New Roman" w:eastAsia="仿宋" w:cs="Times New Roman"/>
          <w:sz w:val="32"/>
          <w:szCs w:val="32"/>
          <w:highlight w:val="none"/>
          <w:lang w:eastAsia="zh-CN"/>
        </w:rPr>
        <w:t>：</w:t>
      </w:r>
    </w:p>
    <w:p>
      <w:pPr>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   </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 xml:space="preserve">               </w:t>
      </w:r>
    </w:p>
    <w:p>
      <w:pPr>
        <w:rPr>
          <w:rFonts w:hint="default" w:ascii="Times New Roman" w:hAnsi="Times New Roman" w:eastAsia="仿宋_GB2312" w:cs="Times New Roman"/>
          <w:sz w:val="32"/>
          <w:szCs w:val="32"/>
          <w:highlight w:val="none"/>
        </w:rPr>
      </w:pPr>
    </w:p>
    <w:p>
      <w:pPr>
        <w:ind w:firstLine="3200" w:firstLineChars="10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工业和信息化部制</w:t>
      </w:r>
    </w:p>
    <w:p>
      <w:pP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 xml:space="preserve">                    20   年      月     </w:t>
      </w: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678"/>
        <w:gridCol w:w="663"/>
        <w:gridCol w:w="255"/>
        <w:gridCol w:w="1432"/>
        <w:gridCol w:w="549"/>
        <w:gridCol w:w="376"/>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企业名称</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通讯地址</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所属行业</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主要产品</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供应商数量</w:t>
            </w:r>
          </w:p>
        </w:tc>
        <w:tc>
          <w:tcPr>
            <w:tcW w:w="1678" w:type="dxa"/>
            <w:vAlign w:val="center"/>
          </w:tcPr>
          <w:p>
            <w:pPr>
              <w:widowControl/>
              <w:jc w:val="left"/>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 xml:space="preserve">        家</w:t>
            </w:r>
          </w:p>
        </w:tc>
        <w:tc>
          <w:tcPr>
            <w:tcW w:w="3275"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供应商中，国家绿色工厂数量</w:t>
            </w:r>
          </w:p>
        </w:tc>
        <w:tc>
          <w:tcPr>
            <w:tcW w:w="1659" w:type="dxa"/>
            <w:vAlign w:val="center"/>
          </w:tcPr>
          <w:p>
            <w:pPr>
              <w:widowControl/>
              <w:jc w:val="center"/>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tcBorders>
              <w:top w:val="nil"/>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kern w:val="0"/>
                <w:sz w:val="24"/>
                <w:szCs w:val="24"/>
                <w:highlight w:val="none"/>
              </w:rPr>
              <w:t>负责人电话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三、绿色供应链管理</w:t>
            </w:r>
            <w:r>
              <w:rPr>
                <w:rFonts w:hint="default" w:ascii="Times New Roman" w:hAnsi="Times New Roman" w:eastAsia="仿宋" w:cs="Times New Roman"/>
                <w:b/>
                <w:color w:val="000000"/>
                <w:kern w:val="0"/>
                <w:sz w:val="24"/>
                <w:highlight w:val="none"/>
                <w:lang w:eastAsia="zh-CN"/>
              </w:rPr>
              <w:t>企业</w:t>
            </w:r>
            <w:r>
              <w:rPr>
                <w:rFonts w:hint="default" w:ascii="Times New Roman" w:hAnsi="Times New Roman" w:eastAsia="仿宋" w:cs="Times New Roman"/>
                <w:b/>
                <w:color w:val="000000"/>
                <w:kern w:val="0"/>
                <w:sz w:val="24"/>
                <w:highlight w:val="none"/>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基本要求</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评价得分</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910" w:type="dxa"/>
            <w:vAlign w:val="center"/>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亮点</w:t>
            </w:r>
          </w:p>
        </w:tc>
        <w:tc>
          <w:tcPr>
            <w:tcW w:w="6612" w:type="dxa"/>
            <w:gridSpan w:val="7"/>
            <w:vAlign w:val="top"/>
          </w:tcPr>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8"/>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8" w:firstLineChars="2000"/>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wordWrap/>
              <w:spacing w:line="360" w:lineRule="auto"/>
              <w:ind w:right="482"/>
              <w:jc w:val="right"/>
              <w:rPr>
                <w:rFonts w:hint="default" w:ascii="Times New Roman" w:hAnsi="Times New Roman" w:eastAsia="仿宋" w:cs="Times New Roman"/>
                <w:color w:val="000000"/>
                <w:kern w:val="0"/>
                <w:sz w:val="24"/>
                <w:highlight w:val="none"/>
              </w:rPr>
            </w:pPr>
          </w:p>
        </w:tc>
      </w:tr>
    </w:tbl>
    <w:p>
      <w:pPr>
        <w:jc w:val="center"/>
        <w:rPr>
          <w:rFonts w:hint="default" w:ascii="Times New Roman" w:hAnsi="Times New Roman" w:eastAsia="黑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napToGrid/>
        <w:spacing w:line="240" w:lineRule="auto"/>
        <w:jc w:val="left"/>
        <w:outlineLvl w:val="9"/>
        <w:rPr>
          <w:rFonts w:hint="default"/>
          <w:highlight w:val="none"/>
        </w:rPr>
      </w:pPr>
    </w:p>
    <w:p>
      <w:pPr>
        <w:snapToGrid w:val="0"/>
        <w:spacing w:line="480" w:lineRule="auto"/>
        <w:jc w:val="center"/>
        <w:outlineLvl w:val="9"/>
        <w:rPr>
          <w:rFonts w:hint="default" w:ascii="Times New Roman" w:hAnsi="Times New Roman" w:eastAsia="黑体" w:cs="Times New Roman"/>
          <w:bCs/>
          <w:color w:val="000000"/>
          <w:sz w:val="36"/>
          <w:szCs w:val="36"/>
          <w:highlight w:val="none"/>
        </w:rPr>
      </w:pPr>
      <w:r>
        <w:rPr>
          <w:rFonts w:hint="default" w:ascii="Times New Roman" w:hAnsi="Times New Roman" w:eastAsia="黑体" w:cs="Times New Roman"/>
          <w:bCs/>
          <w:color w:val="000000"/>
          <w:sz w:val="36"/>
          <w:szCs w:val="36"/>
          <w:highlight w:val="none"/>
        </w:rPr>
        <w:t>绿色供应链管理</w:t>
      </w:r>
      <w:r>
        <w:rPr>
          <w:rFonts w:hint="default" w:ascii="Times New Roman" w:hAnsi="Times New Roman" w:eastAsia="黑体" w:cs="Times New Roman"/>
          <w:bCs/>
          <w:color w:val="000000"/>
          <w:sz w:val="36"/>
          <w:szCs w:val="36"/>
          <w:highlight w:val="none"/>
          <w:lang w:eastAsia="zh-CN"/>
        </w:rPr>
        <w:t>企业</w:t>
      </w:r>
      <w:r>
        <w:rPr>
          <w:rFonts w:hint="default" w:ascii="Times New Roman" w:hAnsi="Times New Roman" w:eastAsia="黑体" w:cs="Times New Roman"/>
          <w:bCs/>
          <w:color w:val="000000"/>
          <w:sz w:val="36"/>
          <w:szCs w:val="36"/>
          <w:highlight w:val="none"/>
        </w:rPr>
        <w:t>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主要介绍企业绿色供应链管理评价的目的、依据及被评价企业的基本情况</w:t>
      </w: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rPr>
        <w:t>企业的基本信息、发展现状、主要产品、生产经营状况、供应商以及在绿色发展方面开展的重点工作及取得的成绩等</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.对企业是否存在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对企业</w:t>
      </w:r>
      <w:r>
        <w:rPr>
          <w:rFonts w:hint="eastAsia" w:ascii="Times New Roman" w:hAnsi="Times New Roman" w:eastAsia="仿宋" w:cs="Times New Roman"/>
          <w:sz w:val="30"/>
          <w:szCs w:val="30"/>
          <w:highlight w:val="none"/>
          <w:lang w:val="en-US" w:eastAsia="zh-CN"/>
        </w:rPr>
        <w:t>是否符合《绿色供应链管理企业评价要求》中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绿色供应链管理战略、实施绿色供应商管理、绿色生产、绿色回收、绿色信息平台建设、绿色信息披露等方面内容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4"/>
        <w:rPr>
          <w:rFonts w:hint="default" w:eastAsia="仿宋"/>
          <w:highlight w:val="none"/>
          <w:lang w:val="en-US" w:eastAsia="zh-CN"/>
        </w:rPr>
      </w:pPr>
      <w:r>
        <w:rPr>
          <w:rFonts w:hint="eastAsia" w:ascii="Times New Roman" w:hAnsi="Times New Roman" w:eastAsia="仿宋" w:cs="Times New Roman"/>
          <w:sz w:val="30"/>
          <w:szCs w:val="30"/>
          <w:highlight w:val="none"/>
          <w:lang w:val="en-US" w:eastAsia="zh-CN"/>
        </w:rPr>
        <w:t xml:space="preserve">    4.</w:t>
      </w:r>
      <w:r>
        <w:rPr>
          <w:rFonts w:hint="default" w:ascii="Times New Roman" w:hAnsi="Times New Roman" w:eastAsia="仿宋" w:cs="Times New Roman"/>
          <w:sz w:val="30"/>
          <w:szCs w:val="30"/>
          <w:highlight w:val="none"/>
        </w:rPr>
        <w:t>列出</w:t>
      </w:r>
      <w:r>
        <w:rPr>
          <w:rFonts w:hint="eastAsia" w:ascii="Times New Roman" w:hAnsi="Times New Roman" w:eastAsia="仿宋" w:cs="Times New Roman"/>
          <w:sz w:val="30"/>
          <w:szCs w:val="30"/>
          <w:highlight w:val="none"/>
          <w:lang w:eastAsia="zh-CN"/>
        </w:rPr>
        <w:t>企业</w:t>
      </w:r>
      <w:r>
        <w:rPr>
          <w:rFonts w:hint="default" w:ascii="Times New Roman" w:hAnsi="Times New Roman" w:eastAsia="仿宋" w:cs="Times New Roman"/>
          <w:sz w:val="30"/>
          <w:szCs w:val="30"/>
          <w:highlight w:val="none"/>
          <w:lang w:val="en-US" w:eastAsia="zh-CN"/>
        </w:rPr>
        <w:t>开展“碳足迹核算”情况</w:t>
      </w:r>
      <w:r>
        <w:rPr>
          <w:rFonts w:hint="eastAsia" w:ascii="Times New Roman" w:hAnsi="Times New Roman" w:eastAsia="仿宋" w:cs="Times New Roman"/>
          <w:sz w:val="30"/>
          <w:szCs w:val="30"/>
          <w:highlight w:val="none"/>
          <w:lang w:val="en-US" w:eastAsia="zh-CN"/>
        </w:rPr>
        <w:t>（加分项）。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是否符合绿色</w:t>
      </w:r>
      <w:r>
        <w:rPr>
          <w:rFonts w:hint="default" w:ascii="Times New Roman" w:hAnsi="Times New Roman" w:eastAsia="仿宋" w:cs="Times New Roman"/>
          <w:sz w:val="30"/>
          <w:szCs w:val="30"/>
          <w:highlight w:val="none"/>
          <w:lang w:val="en-US" w:eastAsia="zh-CN"/>
        </w:rPr>
        <w:t>供应链管理评价</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评价，给出评价得分，描述主要创建做法、工作亮点和仍存在的问题等。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黑体" w:cs="Times New Roman"/>
          <w:bCs/>
          <w:sz w:val="32"/>
          <w:szCs w:val="32"/>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供应链管理企业</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1.</w:t>
      </w:r>
      <w:r>
        <w:rPr>
          <w:rFonts w:hint="default" w:ascii="Times New Roman" w:hAnsi="Times New Roman" w:eastAsia="仿宋" w:cs="Times New Roman"/>
          <w:bCs w:val="0"/>
          <w:sz w:val="30"/>
          <w:szCs w:val="30"/>
          <w:highlight w:val="none"/>
          <w:lang w:val="en-US" w:eastAsia="zh-CN"/>
        </w:rPr>
        <w:t>3.1</w:t>
      </w:r>
    </w:p>
    <w:p>
      <w:pPr>
        <w:spacing w:after="156" w:afterLines="50"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一般要求符合性评价表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一般要求</w:t>
            </w:r>
          </w:p>
        </w:tc>
        <w:tc>
          <w:tcPr>
            <w:tcW w:w="2217"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具有独立法人资格</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具有较强的行业影响力</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具有较完善的能源资源、环境管理体系，各项管理制度健全，符合国家和地方的法律法规及标准规范要求，近三年无重大安全和环境污染事故</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拥有数量众多的供应商，在供应商中有很强的影响力，与上下游供应商建立良好的合作关系</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有完善的供应商管理体系，建立健全的供应商认证、选择、审核、绩效管理和退出机制</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219" w:type="dxa"/>
            <w:tcBorders>
              <w:bottom w:val="single" w:color="auto" w:sz="4" w:space="0"/>
            </w:tcBorders>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有健全的财务管理制度，销售盈利能力处于行业领先水平</w:t>
            </w:r>
            <w:r>
              <w:rPr>
                <w:rFonts w:hint="default" w:ascii="Times New Roman" w:hAnsi="Times New Roman" w:eastAsia="仿宋" w:cs="Times New Roman"/>
                <w:kern w:val="0"/>
                <w:sz w:val="24"/>
                <w:szCs w:val="24"/>
                <w:highlight w:val="none"/>
                <w:lang w:eastAsia="zh-CN"/>
              </w:rPr>
              <w:t>。</w:t>
            </w:r>
          </w:p>
        </w:tc>
        <w:tc>
          <w:tcPr>
            <w:tcW w:w="2217"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对实施绿色供应链管理有明确的工作目标、思路、计划和措施</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bl>
    <w:p>
      <w:pPr>
        <w:widowControl/>
        <w:jc w:val="lef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1.</w:t>
      </w:r>
      <w:r>
        <w:rPr>
          <w:rFonts w:hint="default" w:ascii="Times New Roman" w:hAnsi="Times New Roman" w:eastAsia="仿宋" w:cs="Times New Roman"/>
          <w:bCs w:val="0"/>
          <w:sz w:val="30"/>
          <w:szCs w:val="30"/>
          <w:highlight w:val="none"/>
          <w:lang w:val="en-US" w:eastAsia="zh-CN"/>
        </w:rPr>
        <w:t>3.</w:t>
      </w:r>
      <w:r>
        <w:rPr>
          <w:rFonts w:hint="eastAsia" w:ascii="Times New Roman" w:hAnsi="Times New Roman" w:eastAsia="仿宋" w:cs="Times New Roman"/>
          <w:bCs w:val="0"/>
          <w:sz w:val="30"/>
          <w:szCs w:val="30"/>
          <w:highlight w:val="none"/>
          <w:lang w:val="en-US" w:eastAsia="zh-CN"/>
        </w:rPr>
        <w:t>2</w:t>
      </w:r>
    </w:p>
    <w:p>
      <w:pPr>
        <w:widowControl/>
        <w:autoSpaceDE/>
        <w:autoSpaceDN/>
        <w:adjustRightInd/>
        <w:jc w:val="center"/>
        <w:rPr>
          <w:rFonts w:hint="default" w:ascii="Times New Roman" w:hAnsi="Times New Roman" w:eastAsia="仿宋_GB2312" w:cs="Times New Roman"/>
          <w:b/>
          <w:kern w:val="0"/>
          <w:sz w:val="30"/>
          <w:szCs w:val="30"/>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评价指标体系</w:t>
      </w:r>
      <w:r>
        <w:rPr>
          <w:rFonts w:hint="default" w:ascii="Times New Roman" w:hAnsi="Times New Roman" w:eastAsia="仿宋_GB2312" w:cs="Times New Roman"/>
          <w:b/>
          <w:kern w:val="0"/>
          <w:sz w:val="30"/>
          <w:szCs w:val="30"/>
          <w:highlight w:val="none"/>
        </w:rPr>
        <w:t>（20  年）</w:t>
      </w:r>
    </w:p>
    <w:tbl>
      <w:tblPr>
        <w:tblStyle w:val="11"/>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一级指标</w:t>
            </w:r>
          </w:p>
        </w:tc>
        <w:tc>
          <w:tcPr>
            <w:tcW w:w="728"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序号</w:t>
            </w:r>
          </w:p>
        </w:tc>
        <w:tc>
          <w:tcPr>
            <w:tcW w:w="3601"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二级指标</w:t>
            </w:r>
          </w:p>
        </w:tc>
        <w:tc>
          <w:tcPr>
            <w:tcW w:w="719"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单位</w:t>
            </w:r>
          </w:p>
        </w:tc>
        <w:tc>
          <w:tcPr>
            <w:tcW w:w="840"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最高分值</w:t>
            </w:r>
          </w:p>
        </w:tc>
        <w:tc>
          <w:tcPr>
            <w:tcW w:w="1285"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b/>
                <w:bCs/>
                <w:sz w:val="24"/>
                <w:szCs w:val="24"/>
                <w:highlight w:val="none"/>
                <w:lang w:val="en-US" w:eastAsia="zh-CN"/>
              </w:rPr>
              <w:t>符</w:t>
            </w:r>
            <w:r>
              <w:rPr>
                <w:rFonts w:hint="default" w:ascii="Times New Roman" w:hAnsi="Times New Roman" w:eastAsia="仿宋" w:cs="Times New Roman"/>
                <w:b/>
                <w:bCs/>
                <w:sz w:val="24"/>
                <w:szCs w:val="24"/>
                <w:highlight w:val="none"/>
              </w:rPr>
              <w:t>合性说明及证明材料索引</w:t>
            </w:r>
          </w:p>
        </w:tc>
        <w:tc>
          <w:tcPr>
            <w:tcW w:w="804"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战略X1</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纳入公司发展规划X11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制定绿色供应链管理目标X12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设置专门管理机构X13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实施绿色供应商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管理X2</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绿色采购标准制度完善X21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供应商认证体系完善X22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对供应商定期审核X23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供应商绩效评估制度健全X24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定期对供应商进行培训X25</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低风险供应商占比X26</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绿色生产X3</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节能减排环保合规X31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符合有害物质限制使用管理办法X32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绿色回收X4</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产品回收率X41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包装回收率X42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回收体系完善（含自建、与第三方联合回收）X43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指导下游企业回收拆解X44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绿色信息平台建设X5</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绿色供应链管理信息平台完善X51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绿色信息披露X6</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披露企业节能减排减碳信息X61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披露高、中风险供应商审核率及低风险供应商占比X62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披露供应商节能减排信息X63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发布企业社会责任报告（含绿色采购信息）X64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加分项</w:t>
            </w:r>
          </w:p>
        </w:tc>
        <w:tc>
          <w:tcPr>
            <w:tcW w:w="4329" w:type="dxa"/>
            <w:gridSpan w:val="2"/>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“碳足迹核算”情况</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bl>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注：电子电器、机械、汽车行业</w:t>
      </w:r>
      <w:r>
        <w:rPr>
          <w:rFonts w:hint="eastAsia" w:ascii="Times New Roman" w:hAnsi="Times New Roman" w:eastAsia="仿宋" w:cs="Times New Roman"/>
          <w:kern w:val="0"/>
          <w:sz w:val="24"/>
          <w:szCs w:val="24"/>
          <w:highlight w:val="none"/>
          <w:lang w:val="en-US" w:eastAsia="zh-CN"/>
        </w:rPr>
        <w:t>请</w:t>
      </w:r>
      <w:r>
        <w:rPr>
          <w:rFonts w:hint="default" w:ascii="Times New Roman" w:hAnsi="Times New Roman" w:eastAsia="仿宋" w:cs="Times New Roman"/>
          <w:kern w:val="0"/>
          <w:sz w:val="24"/>
          <w:szCs w:val="24"/>
          <w:highlight w:val="none"/>
        </w:rPr>
        <w:t>根据“绿色供应链管理评价标准清单”中的指标体系自行设计该表格</w:t>
      </w:r>
      <w:r>
        <w:rPr>
          <w:rFonts w:hint="eastAsia" w:ascii="Times New Roman" w:hAnsi="Times New Roman" w:eastAsia="仿宋" w:cs="Times New Roman"/>
          <w:kern w:val="0"/>
          <w:sz w:val="24"/>
          <w:szCs w:val="24"/>
          <w:highlight w:val="none"/>
          <w:lang w:eastAsia="zh-CN"/>
        </w:rPr>
        <w:t>。</w:t>
      </w:r>
    </w:p>
    <w:p>
      <w:pPr>
        <w:rPr>
          <w:rFonts w:hint="default"/>
          <w:lang w:val="en-US" w:eastAsia="zh-CN"/>
        </w:rPr>
      </w:pPr>
    </w:p>
    <w:sectPr>
      <w:footerReference r:id="rId4"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仿宋简体">
    <w:altName w:val="方正仿宋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E44A7"/>
    <w:multiLevelType w:val="singleLevel"/>
    <w:tmpl w:val="AA5E44A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48206D0"/>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AB0D93"/>
    <w:rsid w:val="19456FFF"/>
    <w:rsid w:val="19C836B0"/>
    <w:rsid w:val="1B47424D"/>
    <w:rsid w:val="1CCB7DF1"/>
    <w:rsid w:val="1DAA6CCD"/>
    <w:rsid w:val="1F3C7DAD"/>
    <w:rsid w:val="21B967B4"/>
    <w:rsid w:val="23B550DA"/>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46F301C"/>
    <w:rsid w:val="56DD85F3"/>
    <w:rsid w:val="57AEBA78"/>
    <w:rsid w:val="57FC262A"/>
    <w:rsid w:val="58DB9654"/>
    <w:rsid w:val="59056E93"/>
    <w:rsid w:val="59810D9E"/>
    <w:rsid w:val="5BF66209"/>
    <w:rsid w:val="5D8911C8"/>
    <w:rsid w:val="5E7CA6D2"/>
    <w:rsid w:val="5F79FE19"/>
    <w:rsid w:val="5F7F8C6C"/>
    <w:rsid w:val="5F9F57D2"/>
    <w:rsid w:val="635E7967"/>
    <w:rsid w:val="641F5E4B"/>
    <w:rsid w:val="67393480"/>
    <w:rsid w:val="677E611A"/>
    <w:rsid w:val="6BBFCBBA"/>
    <w:rsid w:val="6DBC9B2F"/>
    <w:rsid w:val="6EF055FA"/>
    <w:rsid w:val="72224F2D"/>
    <w:rsid w:val="7326A85A"/>
    <w:rsid w:val="734764DA"/>
    <w:rsid w:val="756A30EE"/>
    <w:rsid w:val="758DA529"/>
    <w:rsid w:val="77615F32"/>
    <w:rsid w:val="77CF43D9"/>
    <w:rsid w:val="77D45B61"/>
    <w:rsid w:val="78002119"/>
    <w:rsid w:val="7857132C"/>
    <w:rsid w:val="78AFCAE2"/>
    <w:rsid w:val="79130D4C"/>
    <w:rsid w:val="797A042B"/>
    <w:rsid w:val="79FF99B4"/>
    <w:rsid w:val="7AB41F05"/>
    <w:rsid w:val="7AB7ABF1"/>
    <w:rsid w:val="7BF75552"/>
    <w:rsid w:val="7CFFA207"/>
    <w:rsid w:val="7D156AB6"/>
    <w:rsid w:val="7D79A99F"/>
    <w:rsid w:val="7DB56593"/>
    <w:rsid w:val="7DFB449B"/>
    <w:rsid w:val="7EFEA330"/>
    <w:rsid w:val="7F3DBACA"/>
    <w:rsid w:val="7F536244"/>
    <w:rsid w:val="7F6F2B4E"/>
    <w:rsid w:val="7F6F6AB4"/>
    <w:rsid w:val="7FD20F59"/>
    <w:rsid w:val="7FD3CA3A"/>
    <w:rsid w:val="7FDE5079"/>
    <w:rsid w:val="7FEC09F4"/>
    <w:rsid w:val="7FF7570B"/>
    <w:rsid w:val="7FFF536C"/>
    <w:rsid w:val="977B07B2"/>
    <w:rsid w:val="9F390D99"/>
    <w:rsid w:val="9F3F5097"/>
    <w:rsid w:val="B77F3157"/>
    <w:rsid w:val="B7F76331"/>
    <w:rsid w:val="B9DFE71A"/>
    <w:rsid w:val="BBFD2202"/>
    <w:rsid w:val="BCFCB901"/>
    <w:rsid w:val="BF7D695E"/>
    <w:rsid w:val="BF8733BA"/>
    <w:rsid w:val="BF9F656B"/>
    <w:rsid w:val="BFDDD732"/>
    <w:rsid w:val="BFEB0C01"/>
    <w:rsid w:val="C5ED9BA5"/>
    <w:rsid w:val="C7F94806"/>
    <w:rsid w:val="D3FE5AA1"/>
    <w:rsid w:val="D5CFD378"/>
    <w:rsid w:val="D8FE2EC9"/>
    <w:rsid w:val="DB4DA0F3"/>
    <w:rsid w:val="DEA832AC"/>
    <w:rsid w:val="DEBC01F0"/>
    <w:rsid w:val="DFBA756F"/>
    <w:rsid w:val="DFBCD8D7"/>
    <w:rsid w:val="DFFBE120"/>
    <w:rsid w:val="E27B61FD"/>
    <w:rsid w:val="E3B4CBE3"/>
    <w:rsid w:val="ECDF1879"/>
    <w:rsid w:val="EFFD227A"/>
    <w:rsid w:val="F07589AE"/>
    <w:rsid w:val="F3BD88C6"/>
    <w:rsid w:val="F47F1B27"/>
    <w:rsid w:val="F75ABC8E"/>
    <w:rsid w:val="F75E7FF3"/>
    <w:rsid w:val="FA177397"/>
    <w:rsid w:val="FAF70C33"/>
    <w:rsid w:val="FBC9F6AF"/>
    <w:rsid w:val="FBF7176A"/>
    <w:rsid w:val="FBFBE067"/>
    <w:rsid w:val="FD6F8147"/>
    <w:rsid w:val="FD7D0F25"/>
    <w:rsid w:val="FDBF3A85"/>
    <w:rsid w:val="FFDF88CC"/>
    <w:rsid w:val="FFFDBE21"/>
    <w:rsid w:val="FFFFB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简体"/>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列出段落1"/>
    <w:basedOn w:val="1"/>
    <w:qFormat/>
    <w:uiPriority w:val="34"/>
    <w:pPr>
      <w:ind w:firstLine="420" w:firstLineChars="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4"/>
    <w:basedOn w:val="1"/>
    <w:qFormat/>
    <w:uiPriority w:val="34"/>
    <w:pPr>
      <w:ind w:firstLine="420" w:firstLineChars="200"/>
    </w:pPr>
  </w:style>
  <w:style w:type="paragraph" w:customStyle="1" w:styleId="20">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21">
    <w:name w:val="TOC 标题1"/>
    <w:basedOn w:val="2"/>
    <w:next w:val="1"/>
    <w:qFormat/>
    <w:uiPriority w:val="99"/>
    <w:pPr>
      <w:widowControl/>
      <w:spacing w:before="240" w:after="0" w:line="259" w:lineRule="auto"/>
      <w:ind w:left="0" w:leftChars="0" w:firstLine="0" w:firstLineChars="0"/>
      <w:jc w:val="left"/>
      <w:outlineLvl w:val="9"/>
    </w:pPr>
    <w:rPr>
      <w:rFonts w:ascii="Cambria" w:hAnsi="Cambria"/>
      <w:b w:val="0"/>
      <w:color w:val="365F91"/>
      <w:kern w:val="0"/>
      <w:sz w:val="32"/>
      <w:szCs w:val="32"/>
    </w:rPr>
  </w:style>
  <w:style w:type="paragraph" w:customStyle="1" w:styleId="22">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36213</Words>
  <Characters>37893</Characters>
  <Lines>0</Lines>
  <Paragraphs>0</Paragraphs>
  <TotalTime>75</TotalTime>
  <ScaleCrop>false</ScaleCrop>
  <LinksUpToDate>false</LinksUpToDate>
  <CharactersWithSpaces>39069</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2023-03-23T03:53:00Z</dcterms:created>
  <dc:creator>wangjing</dc:creator>
  <cp:lastModifiedBy>jlbs</cp:lastModifiedBy>
  <cp:lastPrinted>2024-01-12T19:12:00Z</cp:lastPrinted>
  <dcterms:modified xsi:type="dcterms:W3CDTF">2025-03-11T15:07:15Z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2AA23988025A4E76A51B66E10A1C7FF7_13</vt:lpwstr>
  </property>
</Properties>
</file>