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6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白山市司法局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年政府信息公开工作年度报告</w:t>
      </w:r>
    </w:p>
    <w:p>
      <w:pPr>
        <w:pStyle w:val="4"/>
        <w:widowControl/>
        <w:spacing w:beforeAutospacing="0" w:afterAutospacing="0" w:line="560" w:lineRule="exact"/>
        <w:jc w:val="both"/>
        <w:rPr>
          <w:rStyle w:val="8"/>
          <w:rFonts w:ascii="微软雅黑" w:hAnsi="微软雅黑" w:eastAsia="微软雅黑" w:cs="微软雅黑"/>
          <w:sz w:val="27"/>
          <w:szCs w:val="27"/>
        </w:rPr>
      </w:pP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autoSpaceDE w:val="0"/>
        <w:autoSpaceDN/>
        <w:bidi w:val="0"/>
        <w:snapToGrid/>
        <w:spacing w:before="0" w:beforeAutospacing="0" w:after="0" w:afterAutospacing="0" w:line="240" w:lineRule="auto"/>
        <w:ind w:right="0" w:firstLine="640" w:firstLineChars="200"/>
        <w:jc w:val="both"/>
        <w:rPr>
          <w:rFonts w:hint="eastAsia" w:ascii="仿宋_GB2312" w:hAnsi="仿宋_GB2312" w:eastAsia="仿宋_GB2312" w:cs="仿宋_GB2312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根据《中华人民共和国政府信息公开条例》规定，现将2022年度白山市司法局政府信息公开年度报告予以公布。全文包括6个方面的内容：总体情况，主动公开政府信息情况，收到和处理政府信息公开申请情况，政府信息公开行政复议、行政诉讼情况，存在的主要问题及改进情况，其他需要报告的事项。年报所列数据统计期限自2022年1月1日起至12月31日止，报告的电子版可通过白山市人民政府网站进行查询，网址：http://xxgk.cbs.gov.cn/zcbm/fgw_97987/ndbg/，电子邮箱：bsssfjbgs@163.com，白山市司法局联系电话：0439-3225341 传真：0439-3225341 邮编：134300办公地址：白山市浑江区长白山大街4028号。</w:t>
      </w:r>
    </w:p>
    <w:p>
      <w:pPr>
        <w:pStyle w:val="4"/>
        <w:overflowPunct w:val="0"/>
        <w:spacing w:beforeAutospacing="0" w:afterAutospacing="0" w:line="560" w:lineRule="exact"/>
        <w:ind w:firstLine="640" w:firstLineChars="200"/>
        <w:jc w:val="both"/>
        <w:rPr>
          <w:rStyle w:val="8"/>
          <w:rFonts w:hint="eastAsia" w:ascii="黑体" w:hAnsi="黑体" w:eastAsia="黑体" w:cs="微软雅黑"/>
          <w:b w:val="0"/>
          <w:sz w:val="32"/>
          <w:szCs w:val="32"/>
        </w:rPr>
      </w:pPr>
      <w:r>
        <w:rPr>
          <w:rStyle w:val="8"/>
          <w:rFonts w:hint="eastAsia" w:ascii="黑体" w:hAnsi="黑体" w:eastAsia="黑体" w:cs="微软雅黑"/>
          <w:b w:val="0"/>
          <w:sz w:val="32"/>
          <w:szCs w:val="32"/>
        </w:rPr>
        <w:t>一、总体情况</w:t>
      </w:r>
    </w:p>
    <w:p>
      <w:pPr>
        <w:pStyle w:val="4"/>
        <w:overflowPunct w:val="0"/>
        <w:spacing w:beforeAutospacing="0" w:afterAutospacing="0" w:line="560" w:lineRule="exact"/>
        <w:ind w:firstLine="640" w:firstLineChars="200"/>
        <w:jc w:val="both"/>
        <w:rPr>
          <w:rStyle w:val="8"/>
          <w:rFonts w:hint="eastAsia" w:ascii="仿宋_GB2312" w:hAnsi="微软雅黑" w:eastAsia="仿宋_GB2312" w:cs="微软雅黑"/>
          <w:b w:val="0"/>
          <w:sz w:val="32"/>
          <w:szCs w:val="32"/>
        </w:rPr>
      </w:pPr>
      <w:r>
        <w:rPr>
          <w:rStyle w:val="8"/>
          <w:rFonts w:hint="eastAsia" w:ascii="仿宋_GB2312" w:hAnsi="微软雅黑" w:eastAsia="仿宋_GB2312" w:cs="微软雅黑"/>
          <w:b w:val="0"/>
          <w:sz w:val="32"/>
          <w:szCs w:val="32"/>
        </w:rPr>
        <w:t>（一）20</w:t>
      </w:r>
      <w:r>
        <w:rPr>
          <w:rStyle w:val="8"/>
          <w:rFonts w:hint="eastAsia" w:ascii="仿宋_GB2312" w:hAnsi="微软雅黑" w:eastAsia="仿宋_GB2312" w:cs="微软雅黑"/>
          <w:b w:val="0"/>
          <w:sz w:val="32"/>
          <w:szCs w:val="32"/>
          <w:lang w:val="en-US" w:eastAsia="zh-CN"/>
        </w:rPr>
        <w:t>22</w:t>
      </w:r>
      <w:r>
        <w:rPr>
          <w:rStyle w:val="8"/>
          <w:rFonts w:hint="eastAsia" w:ascii="仿宋_GB2312" w:hAnsi="微软雅黑" w:eastAsia="仿宋_GB2312" w:cs="微软雅黑"/>
          <w:b w:val="0"/>
          <w:sz w:val="32"/>
          <w:szCs w:val="32"/>
        </w:rPr>
        <w:t>年信息发布情况</w:t>
      </w:r>
    </w:p>
    <w:p>
      <w:pPr>
        <w:pStyle w:val="4"/>
        <w:overflowPunct w:val="0"/>
        <w:spacing w:beforeAutospacing="0" w:afterAutospacing="0" w:line="560" w:lineRule="exact"/>
        <w:ind w:firstLine="640" w:firstLineChars="200"/>
        <w:jc w:val="both"/>
        <w:rPr>
          <w:rStyle w:val="8"/>
          <w:rFonts w:hint="default" w:ascii="仿宋_GB2312" w:hAnsi="微软雅黑" w:eastAsia="仿宋_GB2312" w:cs="微软雅黑"/>
          <w:b w:val="0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微软雅黑" w:eastAsia="仿宋_GB2312" w:cs="微软雅黑"/>
          <w:b w:val="0"/>
          <w:sz w:val="32"/>
          <w:szCs w:val="32"/>
          <w:lang w:val="en-US" w:eastAsia="zh-CN"/>
        </w:rPr>
        <w:t>2022年</w:t>
      </w:r>
      <w:r>
        <w:rPr>
          <w:rStyle w:val="8"/>
          <w:rFonts w:hint="eastAsia" w:ascii="仿宋_GB2312" w:hAnsi="微软雅黑" w:eastAsia="仿宋_GB2312" w:cs="微软雅黑"/>
          <w:b w:val="0"/>
          <w:sz w:val="32"/>
          <w:szCs w:val="32"/>
        </w:rPr>
        <w:t>主动公开信息</w:t>
      </w:r>
      <w:r>
        <w:rPr>
          <w:rStyle w:val="8"/>
          <w:rFonts w:hint="eastAsia" w:ascii="仿宋_GB2312" w:hAnsi="微软雅黑" w:eastAsia="仿宋_GB2312" w:cs="微软雅黑"/>
          <w:b w:val="0"/>
          <w:sz w:val="32"/>
          <w:szCs w:val="32"/>
          <w:lang w:eastAsia="zh-CN"/>
        </w:rPr>
        <w:t>共计</w:t>
      </w:r>
      <w:r>
        <w:rPr>
          <w:rStyle w:val="8"/>
          <w:rFonts w:hint="eastAsia" w:ascii="仿宋_GB2312" w:hAnsi="微软雅黑" w:eastAsia="仿宋_GB2312" w:cs="微软雅黑"/>
          <w:b w:val="0"/>
          <w:sz w:val="32"/>
          <w:szCs w:val="32"/>
          <w:lang w:val="en-US" w:eastAsia="zh-CN"/>
        </w:rPr>
        <w:t>425</w:t>
      </w:r>
      <w:r>
        <w:rPr>
          <w:rStyle w:val="8"/>
          <w:rFonts w:hint="eastAsia" w:ascii="仿宋_GB2312" w:hAnsi="微软雅黑" w:eastAsia="仿宋_GB2312" w:cs="微软雅黑"/>
          <w:b w:val="0"/>
          <w:sz w:val="32"/>
          <w:szCs w:val="32"/>
        </w:rPr>
        <w:t>条</w:t>
      </w:r>
      <w:r>
        <w:rPr>
          <w:rStyle w:val="8"/>
          <w:rFonts w:hint="eastAsia" w:ascii="仿宋_GB2312" w:hAnsi="微软雅黑" w:eastAsia="仿宋_GB2312" w:cs="微软雅黑"/>
          <w:b w:val="0"/>
          <w:sz w:val="32"/>
          <w:szCs w:val="32"/>
          <w:lang w:val="en-US" w:eastAsia="zh-CN"/>
        </w:rPr>
        <w:t>,政务公开栏目公开35条,微信公众号公开390条</w:t>
      </w:r>
      <w:r>
        <w:rPr>
          <w:rFonts w:hint="eastAsia" w:ascii="仿宋_GB2312" w:hAnsi="仿宋_GB2312" w:eastAsia="仿宋_GB2312" w:cs="仿宋_GB2312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。</w:t>
      </w:r>
    </w:p>
    <w:p>
      <w:pPr>
        <w:pStyle w:val="4"/>
        <w:overflowPunct w:val="0"/>
        <w:spacing w:beforeAutospacing="0" w:afterAutospacing="0" w:line="560" w:lineRule="exact"/>
        <w:ind w:firstLine="640" w:firstLineChars="200"/>
        <w:jc w:val="both"/>
        <w:rPr>
          <w:rStyle w:val="8"/>
          <w:rFonts w:hint="eastAsia" w:ascii="仿宋_GB2312" w:hAnsi="微软雅黑" w:eastAsia="仿宋_GB2312" w:cs="微软雅黑"/>
          <w:b w:val="0"/>
          <w:sz w:val="32"/>
          <w:szCs w:val="32"/>
        </w:rPr>
      </w:pPr>
      <w:r>
        <w:rPr>
          <w:rStyle w:val="8"/>
          <w:rFonts w:hint="eastAsia" w:ascii="仿宋_GB2312" w:hAnsi="微软雅黑" w:eastAsia="仿宋_GB2312" w:cs="微软雅黑"/>
          <w:b w:val="0"/>
          <w:sz w:val="32"/>
          <w:szCs w:val="32"/>
        </w:rPr>
        <w:t>（二）20</w:t>
      </w:r>
      <w:r>
        <w:rPr>
          <w:rStyle w:val="8"/>
          <w:rFonts w:hint="eastAsia" w:ascii="仿宋_GB2312" w:hAnsi="微软雅黑" w:eastAsia="仿宋_GB2312" w:cs="微软雅黑"/>
          <w:b w:val="0"/>
          <w:sz w:val="32"/>
          <w:szCs w:val="32"/>
          <w:lang w:val="en-US" w:eastAsia="zh-CN"/>
        </w:rPr>
        <w:t>22</w:t>
      </w:r>
      <w:r>
        <w:rPr>
          <w:rStyle w:val="8"/>
          <w:rFonts w:hint="eastAsia" w:ascii="仿宋_GB2312" w:hAnsi="微软雅黑" w:eastAsia="仿宋_GB2312" w:cs="微软雅黑"/>
          <w:b w:val="0"/>
          <w:sz w:val="32"/>
          <w:szCs w:val="32"/>
        </w:rPr>
        <w:t>年重点工作任务完成情况</w:t>
      </w:r>
    </w:p>
    <w:p>
      <w:pPr>
        <w:pStyle w:val="4"/>
        <w:overflowPunct w:val="0"/>
        <w:spacing w:beforeAutospacing="0" w:afterAutospacing="0" w:line="560" w:lineRule="exact"/>
        <w:ind w:firstLine="640" w:firstLineChars="200"/>
        <w:jc w:val="both"/>
        <w:rPr>
          <w:rStyle w:val="8"/>
          <w:rFonts w:hint="eastAsia" w:ascii="仿宋_GB2312" w:hAnsi="微软雅黑" w:eastAsia="仿宋_GB2312" w:cs="微软雅黑"/>
          <w:b w:val="0"/>
          <w:sz w:val="32"/>
          <w:szCs w:val="32"/>
        </w:rPr>
      </w:pPr>
      <w:r>
        <w:rPr>
          <w:rStyle w:val="8"/>
          <w:rFonts w:hint="eastAsia" w:ascii="仿宋_GB2312" w:hAnsi="微软雅黑" w:eastAsia="仿宋_GB2312" w:cs="微软雅黑"/>
          <w:b w:val="0"/>
          <w:sz w:val="32"/>
          <w:szCs w:val="32"/>
        </w:rPr>
        <w:t xml:space="preserve">一是加强组织领导，完善制度保障。市司法局局党组高度重视政务公开工作，明确了责任科室和工作时限，市司法局办公室把政务公开工作摆在重要位置，加强审核把关，定期督导检查，确保各项工作落到实处。 </w:t>
      </w:r>
    </w:p>
    <w:p>
      <w:pPr>
        <w:pStyle w:val="4"/>
        <w:overflowPunct w:val="0"/>
        <w:spacing w:beforeAutospacing="0" w:afterAutospacing="0" w:line="560" w:lineRule="exact"/>
        <w:ind w:firstLine="640" w:firstLineChars="200"/>
        <w:jc w:val="both"/>
        <w:rPr>
          <w:rStyle w:val="8"/>
          <w:rFonts w:hint="eastAsia" w:ascii="仿宋_GB2312" w:hAnsi="微软雅黑" w:eastAsia="仿宋_GB2312" w:cs="微软雅黑"/>
          <w:b w:val="0"/>
          <w:sz w:val="32"/>
          <w:szCs w:val="32"/>
        </w:rPr>
      </w:pPr>
      <w:r>
        <w:rPr>
          <w:rStyle w:val="8"/>
          <w:rFonts w:hint="eastAsia" w:ascii="仿宋_GB2312" w:hAnsi="微软雅黑" w:eastAsia="仿宋_GB2312" w:cs="微软雅黑"/>
          <w:b w:val="0"/>
          <w:sz w:val="32"/>
          <w:szCs w:val="32"/>
        </w:rPr>
        <w:t>二是认真做好政策解读工作。按照“谁起草、谁解读”的原则，在文件公开后三个工作日内及时开展政策性文件解——并与政策文件进行有效关联，解读内容包括出台的背景、主要内容、主要创新点等方面。</w:t>
      </w:r>
    </w:p>
    <w:p>
      <w:pPr>
        <w:pStyle w:val="4"/>
        <w:overflowPunct w:val="0"/>
        <w:spacing w:beforeAutospacing="0" w:afterAutospacing="0" w:line="560" w:lineRule="exact"/>
        <w:ind w:firstLine="640" w:firstLineChars="200"/>
        <w:jc w:val="both"/>
        <w:rPr>
          <w:rStyle w:val="8"/>
          <w:rFonts w:hint="eastAsia" w:ascii="仿宋_GB2312" w:hAnsi="微软雅黑" w:eastAsia="仿宋_GB2312" w:cs="微软雅黑"/>
          <w:b w:val="0"/>
          <w:sz w:val="32"/>
          <w:szCs w:val="32"/>
        </w:rPr>
      </w:pPr>
      <w:r>
        <w:rPr>
          <w:rStyle w:val="8"/>
          <w:rFonts w:hint="eastAsia" w:ascii="仿宋_GB2312" w:hAnsi="微软雅黑" w:eastAsia="仿宋_GB2312" w:cs="微软雅黑"/>
          <w:b w:val="0"/>
          <w:sz w:val="32"/>
          <w:szCs w:val="32"/>
        </w:rPr>
        <w:t xml:space="preserve">三是及时完善政务信息公开目录。在文件制订过程中，由办公室按照相关法律规定对文件的公开属性进行界定，属于主动公开范围的文件，都能做到在发布之日起20个工作日内通过市场监管局网站对外公布。 </w:t>
      </w:r>
    </w:p>
    <w:p>
      <w:pPr>
        <w:pStyle w:val="4"/>
        <w:widowControl/>
        <w:overflowPunct w:val="0"/>
        <w:spacing w:beforeAutospacing="0" w:afterAutospacing="0" w:line="560" w:lineRule="exact"/>
        <w:ind w:firstLine="640" w:firstLineChars="200"/>
        <w:jc w:val="both"/>
        <w:rPr>
          <w:rStyle w:val="8"/>
          <w:rFonts w:hint="eastAsia" w:ascii="仿宋_GB2312" w:hAnsi="微软雅黑" w:eastAsia="仿宋_GB2312" w:cs="微软雅黑"/>
          <w:b w:val="0"/>
          <w:sz w:val="32"/>
          <w:szCs w:val="32"/>
        </w:rPr>
      </w:pPr>
      <w:r>
        <w:rPr>
          <w:rStyle w:val="8"/>
          <w:rFonts w:hint="eastAsia" w:ascii="仿宋_GB2312" w:hAnsi="微软雅黑" w:eastAsia="仿宋_GB2312" w:cs="微软雅黑"/>
          <w:b w:val="0"/>
          <w:sz w:val="32"/>
          <w:szCs w:val="32"/>
        </w:rPr>
        <w:t>四是加强业务培训，提高信息公开水平。积极组织相关工作人员参加省、市举办的各项有关政务公开的业务培训，不断提高做好政府信息公开工作的能力。</w:t>
      </w:r>
    </w:p>
    <w:p>
      <w:pPr>
        <w:pStyle w:val="3"/>
        <w:keepNext w:val="0"/>
        <w:keepLines w:val="0"/>
        <w:widowControl/>
        <w:suppressLineNumbers w:val="0"/>
        <w:ind w:firstLine="640" w:firstLineChars="200"/>
        <w:rPr>
          <w:sz w:val="32"/>
          <w:szCs w:val="32"/>
          <w:vertAlign w:val="baseline"/>
        </w:rPr>
      </w:pPr>
      <w:r>
        <w:rPr>
          <w:rFonts w:hint="eastAsia" w:ascii="FZHei-B01" w:hAnsi="FZHei-B01" w:eastAsia="FZHei-B01" w:cs="FZHei-B01"/>
          <w:color w:val="000000"/>
          <w:sz w:val="32"/>
          <w:szCs w:val="32"/>
        </w:rPr>
        <w:t>二</w:t>
      </w:r>
      <w:r>
        <w:rPr>
          <w:rFonts w:hint="default" w:ascii="DY16 + ZKbFbU-16 + g" w:hAnsi="DY16 + ZKbFbU-16 + g" w:eastAsia="DY16 + ZKbFbU-16 + g" w:cs="DY16 + ZKbFbU-16 + g"/>
          <w:color w:val="000000"/>
          <w:sz w:val="32"/>
          <w:szCs w:val="32"/>
        </w:rPr>
        <w:t>、</w:t>
      </w:r>
      <w:r>
        <w:rPr>
          <w:rFonts w:hint="eastAsia" w:ascii="FZHei-B01" w:hAnsi="FZHei-B01" w:eastAsia="FZHei-B01" w:cs="FZHei-B01"/>
          <w:color w:val="000000"/>
          <w:sz w:val="32"/>
          <w:szCs w:val="32"/>
        </w:rPr>
        <w:t>主动公开政府信息情况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FZShuSong-Z01" w:hAnsi="FZShuSong-Z01" w:eastAsia="FZShuSong-Z01" w:cs="FZShuSong-Z01"/>
                <w:color w:val="000000"/>
                <w:sz w:val="22"/>
                <w:szCs w:val="22"/>
              </w:rPr>
              <w:t xml:space="preserve">第二十条 </w:t>
            </w:r>
            <w:r>
              <w:rPr>
                <w:rFonts w:hint="eastAsia" w:ascii="FZShuSong-Z01" w:hAnsi="FZShuSong-Z01" w:eastAsia="FZShuSong-Z01" w:cs="FZShuSong-Z01"/>
                <w:color w:val="000000"/>
                <w:sz w:val="22"/>
                <w:szCs w:val="22"/>
              </w:rPr>
              <w:t xml:space="preserve">第 </w:t>
            </w:r>
            <w:r>
              <w:rPr>
                <w:rFonts w:ascii="DY15 + ZKbFbU-15 + f" w:hAnsi="DY15 + ZKbFbU-15 + f" w:eastAsia="DY15 + ZKbFbU-15 + f" w:cs="DY15 + ZKbFbU-15 + f"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FZShuSong-Z01" w:hAnsi="FZShuSong-Z01" w:eastAsia="FZShuSong-Z01" w:cs="FZShuSong-Z01"/>
                <w:color w:val="000000"/>
                <w:sz w:val="22"/>
                <w:szCs w:val="22"/>
              </w:rPr>
              <w:t>一</w:t>
            </w:r>
            <w:r>
              <w:rPr>
                <w:rFonts w:hint="default" w:ascii="DY15 + ZKbFbU-15 + f" w:hAnsi="DY15 + ZKbFbU-15 + f" w:eastAsia="DY15 + ZKbFbU-15 + f" w:cs="DY15 + ZKbFbU-15 + f"/>
                <w:color w:val="000000"/>
                <w:sz w:val="22"/>
                <w:szCs w:val="22"/>
              </w:rPr>
              <w:t>）</w:t>
            </w:r>
            <w:r>
              <w:rPr>
                <w:rFonts w:hint="eastAsia" w:ascii="FZShuSong-Z01" w:hAnsi="FZShuSong-Z01" w:eastAsia="FZShuSong-Z01" w:cs="FZShuSong-Z01"/>
                <w:color w:val="000000"/>
                <w:sz w:val="22"/>
                <w:szCs w:val="22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3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FZShuSong-Z01" w:hAnsi="FZShuSong-Z01" w:eastAsia="FZShuSong-Z01" w:cs="FZShuSong-Z01"/>
                <w:color w:val="000000"/>
                <w:sz w:val="22"/>
                <w:szCs w:val="22"/>
              </w:rPr>
              <w:t>信息内容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FZShuSong-Z01" w:hAnsi="FZShuSong-Z01" w:eastAsia="FZShuSong-Z01" w:cs="FZShuSong-Z01"/>
                <w:color w:val="000000"/>
                <w:sz w:val="22"/>
                <w:szCs w:val="22"/>
              </w:rPr>
              <w:t>本年制发件数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FZShuSong-Z01" w:hAnsi="FZShuSong-Z01" w:eastAsia="FZShuSong-Z01" w:cs="FZShuSong-Z01"/>
                <w:color w:val="000000"/>
                <w:sz w:val="22"/>
                <w:szCs w:val="22"/>
              </w:rPr>
              <w:t>本年废止件数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FZShuSong-Z01" w:hAnsi="FZShuSong-Z01" w:eastAsia="FZShuSong-Z01" w:cs="FZShuSong-Z01"/>
                <w:color w:val="000000"/>
                <w:sz w:val="22"/>
                <w:szCs w:val="22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FZShuSong-Z01" w:hAnsi="FZShuSong-Z01" w:eastAsia="FZShuSong-Z01" w:cs="FZShuSong-Z01"/>
                <w:color w:val="000000"/>
                <w:sz w:val="22"/>
                <w:szCs w:val="22"/>
              </w:rPr>
              <w:t>规章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FZShuSong-Z01" w:hAnsi="FZShuSong-Z01" w:eastAsia="FZShuSong-Z01" w:cs="FZShuSong-Z01"/>
                <w:color w:val="000000"/>
                <w:sz w:val="22"/>
                <w:szCs w:val="22"/>
              </w:rPr>
              <w:t>行政规范性文件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FZShuSong-Z01" w:hAnsi="FZShuSong-Z01" w:eastAsia="FZShuSong-Z01" w:cs="FZShuSong-Z01"/>
                <w:color w:val="000000"/>
                <w:sz w:val="22"/>
                <w:szCs w:val="22"/>
              </w:rPr>
              <w:t xml:space="preserve">第二十条 </w:t>
            </w:r>
            <w:r>
              <w:rPr>
                <w:rFonts w:hint="eastAsia" w:ascii="FZShuSong-Z01" w:hAnsi="FZShuSong-Z01" w:eastAsia="FZShuSong-Z01" w:cs="FZShuSong-Z01"/>
                <w:color w:val="000000"/>
                <w:sz w:val="22"/>
                <w:szCs w:val="22"/>
              </w:rPr>
              <w:t xml:space="preserve">第 </w:t>
            </w:r>
            <w:r>
              <w:rPr>
                <w:rFonts w:ascii="DY15 + ZKbFbU-15 + f" w:hAnsi="DY15 + ZKbFbU-15 + f" w:eastAsia="DY15 + ZKbFbU-15 + f" w:cs="DY15 + ZKbFbU-15 + f"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FZShuSong-Z01" w:hAnsi="FZShuSong-Z01" w:eastAsia="FZShuSong-Z01" w:cs="FZShuSong-Z01"/>
                <w:color w:val="000000"/>
                <w:sz w:val="22"/>
                <w:szCs w:val="22"/>
              </w:rPr>
              <w:t>五</w:t>
            </w:r>
            <w:r>
              <w:rPr>
                <w:rFonts w:hint="default" w:ascii="DY15 + ZKbFbU-15 + f" w:hAnsi="DY15 + ZKbFbU-15 + f" w:eastAsia="DY15 + ZKbFbU-15 + f" w:cs="DY15 + ZKbFbU-15 + f"/>
                <w:color w:val="000000"/>
                <w:sz w:val="22"/>
                <w:szCs w:val="22"/>
              </w:rPr>
              <w:t>）</w:t>
            </w:r>
            <w:r>
              <w:rPr>
                <w:rFonts w:hint="eastAsia" w:ascii="FZShuSong-Z01" w:hAnsi="FZShuSong-Z01" w:eastAsia="FZShuSong-Z01" w:cs="FZShuSong-Z01"/>
                <w:color w:val="000000"/>
                <w:sz w:val="22"/>
                <w:szCs w:val="22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FZShuSong-Z01" w:hAnsi="FZShuSong-Z01" w:eastAsia="FZShuSong-Z01" w:cs="FZShuSong-Z01"/>
                <w:color w:val="000000"/>
                <w:sz w:val="22"/>
                <w:szCs w:val="22"/>
              </w:rPr>
              <w:t>信息内容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FZShuSong-Z01" w:hAnsi="FZShuSong-Z01" w:eastAsia="FZShuSong-Z01" w:cs="FZShuSong-Z01"/>
                <w:color w:val="000000"/>
                <w:sz w:val="22"/>
                <w:szCs w:val="22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FZShuSong-Z01" w:hAnsi="FZShuSong-Z01" w:eastAsia="FZShuSong-Z01" w:cs="FZShuSong-Z01"/>
                <w:color w:val="000000"/>
                <w:sz w:val="22"/>
                <w:szCs w:val="22"/>
              </w:rPr>
              <w:t>行政许可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4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FZShuSong-Z01" w:hAnsi="FZShuSong-Z01" w:eastAsia="FZShuSong-Z01" w:cs="FZShuSong-Z01"/>
                <w:color w:val="000000"/>
                <w:sz w:val="22"/>
                <w:szCs w:val="22"/>
              </w:rPr>
              <w:t xml:space="preserve">第二十条 </w:t>
            </w:r>
            <w:r>
              <w:rPr>
                <w:rFonts w:hint="eastAsia" w:ascii="FZShuSong-Z01" w:hAnsi="FZShuSong-Z01" w:eastAsia="FZShuSong-Z01" w:cs="FZShuSong-Z01"/>
                <w:color w:val="000000"/>
                <w:sz w:val="22"/>
                <w:szCs w:val="22"/>
              </w:rPr>
              <w:t xml:space="preserve">第 </w:t>
            </w:r>
            <w:r>
              <w:rPr>
                <w:rFonts w:ascii="DY15 + ZKbFbU-15 + f" w:hAnsi="DY15 + ZKbFbU-15 + f" w:eastAsia="DY15 + ZKbFbU-15 + f" w:cs="DY15 + ZKbFbU-15 + f"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FZShuSong-Z01" w:hAnsi="FZShuSong-Z01" w:eastAsia="FZShuSong-Z01" w:cs="FZShuSong-Z01"/>
                <w:color w:val="000000"/>
                <w:sz w:val="22"/>
                <w:szCs w:val="22"/>
              </w:rPr>
              <w:t>六</w:t>
            </w:r>
            <w:r>
              <w:rPr>
                <w:rFonts w:hint="default" w:ascii="DY15 + ZKbFbU-15 + f" w:hAnsi="DY15 + ZKbFbU-15 + f" w:eastAsia="DY15 + ZKbFbU-15 + f" w:cs="DY15 + ZKbFbU-15 + f"/>
                <w:color w:val="000000"/>
                <w:sz w:val="22"/>
                <w:szCs w:val="22"/>
              </w:rPr>
              <w:t>）</w:t>
            </w:r>
            <w:r>
              <w:rPr>
                <w:rFonts w:hint="eastAsia" w:ascii="FZShuSong-Z01" w:hAnsi="FZShuSong-Z01" w:eastAsia="FZShuSong-Z01" w:cs="FZShuSong-Z01"/>
                <w:color w:val="000000"/>
                <w:sz w:val="22"/>
                <w:szCs w:val="22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FZShuSong-Z01" w:hAnsi="FZShuSong-Z01" w:eastAsia="FZShuSong-Z01" w:cs="FZShuSong-Z01"/>
                <w:color w:val="000000"/>
                <w:sz w:val="22"/>
                <w:szCs w:val="22"/>
              </w:rPr>
              <w:t>信息内容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FZShuSong-Z01" w:hAnsi="FZShuSong-Z01" w:eastAsia="FZShuSong-Z01" w:cs="FZShuSong-Z01"/>
                <w:color w:val="000000"/>
                <w:sz w:val="22"/>
                <w:szCs w:val="22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FZShuSong-Z01" w:hAnsi="FZShuSong-Z01" w:eastAsia="FZShuSong-Z01" w:cs="FZShuSong-Z01"/>
                <w:color w:val="000000"/>
                <w:sz w:val="22"/>
                <w:szCs w:val="22"/>
              </w:rPr>
              <w:t>行政处罚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FZShuSong-Z01" w:hAnsi="FZShuSong-Z01" w:eastAsia="FZShuSong-Z01" w:cs="FZShuSong-Z01"/>
                <w:color w:val="000000"/>
                <w:sz w:val="22"/>
                <w:szCs w:val="22"/>
              </w:rPr>
              <w:t>行政强制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4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FZShuSong-Z01" w:hAnsi="FZShuSong-Z01" w:eastAsia="FZShuSong-Z01" w:cs="FZShuSong-Z01"/>
                <w:color w:val="000000"/>
                <w:sz w:val="22"/>
                <w:szCs w:val="22"/>
              </w:rPr>
              <w:t xml:space="preserve">第二十条 </w:t>
            </w:r>
            <w:r>
              <w:rPr>
                <w:rFonts w:hint="eastAsia" w:ascii="FZShuSong-Z01" w:hAnsi="FZShuSong-Z01" w:eastAsia="FZShuSong-Z01" w:cs="FZShuSong-Z01"/>
                <w:color w:val="000000"/>
                <w:sz w:val="22"/>
                <w:szCs w:val="22"/>
              </w:rPr>
              <w:t xml:space="preserve">第 </w:t>
            </w:r>
            <w:r>
              <w:rPr>
                <w:rFonts w:ascii="DY15 + ZKbFbU-15 + f" w:hAnsi="DY15 + ZKbFbU-15 + f" w:eastAsia="DY15 + ZKbFbU-15 + f" w:cs="DY15 + ZKbFbU-15 + f"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FZShuSong-Z01" w:hAnsi="FZShuSong-Z01" w:eastAsia="FZShuSong-Z01" w:cs="FZShuSong-Z01"/>
                <w:color w:val="000000"/>
                <w:sz w:val="22"/>
                <w:szCs w:val="22"/>
              </w:rPr>
              <w:t>八</w:t>
            </w:r>
            <w:r>
              <w:rPr>
                <w:rFonts w:hint="default" w:ascii="DY15 + ZKbFbU-15 + f" w:hAnsi="DY15 + ZKbFbU-15 + f" w:eastAsia="DY15 + ZKbFbU-15 + f" w:cs="DY15 + ZKbFbU-15 + f"/>
                <w:color w:val="000000"/>
                <w:sz w:val="22"/>
                <w:szCs w:val="22"/>
              </w:rPr>
              <w:t>）</w:t>
            </w:r>
            <w:r>
              <w:rPr>
                <w:rFonts w:hint="eastAsia" w:ascii="FZShuSong-Z01" w:hAnsi="FZShuSong-Z01" w:eastAsia="FZShuSong-Z01" w:cs="FZShuSong-Z01"/>
                <w:color w:val="000000"/>
                <w:sz w:val="22"/>
                <w:szCs w:val="22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FZShuSong-Z01" w:hAnsi="FZShuSong-Z01" w:eastAsia="FZShuSong-Z01" w:cs="FZShuSong-Z01"/>
                <w:color w:val="000000"/>
                <w:sz w:val="22"/>
                <w:szCs w:val="22"/>
              </w:rPr>
              <w:t>信息内容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FZShuSong-Z01" w:hAnsi="FZShuSong-Z01" w:eastAsia="FZShuSong-Z01" w:cs="FZShuSong-Z01"/>
                <w:color w:val="000000"/>
                <w:sz w:val="22"/>
                <w:szCs w:val="22"/>
              </w:rPr>
              <w:t xml:space="preserve">本年收费金额 </w:t>
            </w:r>
            <w:r>
              <w:rPr>
                <w:rFonts w:ascii="DY15 + ZKbFbU-15 + f" w:hAnsi="DY15 + ZKbFbU-15 + f" w:eastAsia="DY15 + ZKbFbU-15 + f" w:cs="DY15 + ZKbFbU-15 + f"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FZShuSong-Z01" w:hAnsi="FZShuSong-Z01" w:eastAsia="FZShuSong-Z01" w:cs="FZShuSong-Z01"/>
                <w:color w:val="000000"/>
                <w:sz w:val="22"/>
                <w:szCs w:val="22"/>
              </w:rPr>
              <w:t>单位</w:t>
            </w:r>
            <w:r>
              <w:rPr>
                <w:rFonts w:hint="default" w:ascii="DY15 + ZKbFbU-15 + f" w:hAnsi="DY15 + ZKbFbU-15 + f" w:eastAsia="DY15 + ZKbFbU-15 + f" w:cs="DY15 + ZKbFbU-15 + f"/>
                <w:color w:val="000000"/>
                <w:sz w:val="22"/>
                <w:szCs w:val="22"/>
              </w:rPr>
              <w:t>：</w:t>
            </w:r>
            <w:r>
              <w:rPr>
                <w:rFonts w:hint="eastAsia" w:ascii="FZShuSong-Z01" w:hAnsi="FZShuSong-Z01" w:eastAsia="FZShuSong-Z01" w:cs="FZShuSong-Z01"/>
                <w:color w:val="000000"/>
                <w:sz w:val="22"/>
                <w:szCs w:val="22"/>
              </w:rPr>
              <w:t>万元</w:t>
            </w:r>
            <w:r>
              <w:rPr>
                <w:rFonts w:hint="default" w:ascii="DY15 + ZKbFbU-15 + f" w:hAnsi="DY15 + ZKbFbU-15 + f" w:eastAsia="DY15 + ZKbFbU-15 + f" w:cs="DY15 + ZKbFbU-15 + f"/>
                <w:color w:val="00000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FZShuSong-Z01" w:hAnsi="FZShuSong-Z01" w:eastAsia="FZShuSong-Z01" w:cs="FZShuSong-Z01"/>
                <w:color w:val="000000"/>
                <w:sz w:val="22"/>
                <w:szCs w:val="22"/>
              </w:rPr>
              <w:t>行政事业性收费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ind w:firstLine="640" w:firstLineChars="200"/>
        <w:rPr>
          <w:sz w:val="32"/>
          <w:szCs w:val="32"/>
        </w:rPr>
      </w:pPr>
      <w:r>
        <w:rPr>
          <w:rFonts w:ascii="FZHei-B01" w:hAnsi="FZHei-B01" w:eastAsia="FZHei-B01" w:cs="FZHei-B01"/>
          <w:color w:val="000000"/>
          <w:sz w:val="32"/>
          <w:szCs w:val="32"/>
        </w:rPr>
        <w:t>三</w:t>
      </w:r>
      <w:r>
        <w:rPr>
          <w:rFonts w:ascii="DY19 + ZKbFbV-19 + j" w:hAnsi="DY19 + ZKbFbV-19 + j" w:eastAsia="DY19 + ZKbFbV-19 + j" w:cs="DY19 + ZKbFbV-19 + j"/>
          <w:color w:val="000000"/>
          <w:sz w:val="32"/>
          <w:szCs w:val="32"/>
        </w:rPr>
        <w:t>、</w:t>
      </w:r>
      <w:r>
        <w:rPr>
          <w:rFonts w:hint="eastAsia" w:ascii="FZHei-B01" w:hAnsi="FZHei-B01" w:eastAsia="FZHei-B01" w:cs="FZHei-B01"/>
          <w:color w:val="000000"/>
          <w:sz w:val="32"/>
          <w:szCs w:val="32"/>
        </w:rPr>
        <w:t>收到和处理政府信息公开申请情况</w:t>
      </w:r>
    </w:p>
    <w:tbl>
      <w:tblPr>
        <w:tblStyle w:val="5"/>
        <w:tblW w:w="7936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838"/>
        <w:gridCol w:w="3446"/>
        <w:gridCol w:w="409"/>
        <w:gridCol w:w="439"/>
        <w:gridCol w:w="433"/>
        <w:gridCol w:w="433"/>
        <w:gridCol w:w="439"/>
        <w:gridCol w:w="416"/>
        <w:gridCol w:w="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4951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985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95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416" w:type="dxa"/>
            <w:vMerge w:val="restart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495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商业企业</w:t>
            </w:r>
          </w:p>
        </w:tc>
        <w:tc>
          <w:tcPr>
            <w:tcW w:w="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科研机构</w:t>
            </w:r>
          </w:p>
        </w:tc>
        <w:tc>
          <w:tcPr>
            <w:tcW w:w="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社会公益组织</w:t>
            </w:r>
          </w:p>
        </w:tc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法律服务机构</w:t>
            </w:r>
          </w:p>
        </w:tc>
        <w:tc>
          <w:tcPr>
            <w:tcW w:w="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416" w:type="dxa"/>
            <w:vMerge w:val="continue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51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4951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6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428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8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（二）部分公开 （区分处理的，只计这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一情况，不计其他情形）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3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１.属于国家秘密</w:t>
            </w:r>
          </w:p>
        </w:tc>
        <w:tc>
          <w:tcPr>
            <w:tcW w:w="40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２.其他法律行政法规禁止公开</w:t>
            </w:r>
          </w:p>
        </w:tc>
        <w:tc>
          <w:tcPr>
            <w:tcW w:w="40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３.危及“三安全一稳定</w:t>
            </w:r>
          </w:p>
        </w:tc>
        <w:tc>
          <w:tcPr>
            <w:tcW w:w="40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４.保护第三方合法权益</w:t>
            </w:r>
          </w:p>
        </w:tc>
        <w:tc>
          <w:tcPr>
            <w:tcW w:w="40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５.属于三类内容事务信息</w:t>
            </w:r>
          </w:p>
        </w:tc>
        <w:tc>
          <w:tcPr>
            <w:tcW w:w="40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６.属于四类过程性信息</w:t>
            </w:r>
          </w:p>
        </w:tc>
        <w:tc>
          <w:tcPr>
            <w:tcW w:w="40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７.属于行政执法案卷</w:t>
            </w:r>
          </w:p>
        </w:tc>
        <w:tc>
          <w:tcPr>
            <w:tcW w:w="40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８.属于行政查询事项</w:t>
            </w:r>
          </w:p>
        </w:tc>
        <w:tc>
          <w:tcPr>
            <w:tcW w:w="40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(四)无法提供</w:t>
            </w:r>
          </w:p>
        </w:tc>
        <w:tc>
          <w:tcPr>
            <w:tcW w:w="3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１.本机关不掌握相关政府信息</w:t>
            </w:r>
          </w:p>
        </w:tc>
        <w:tc>
          <w:tcPr>
            <w:tcW w:w="40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２.没有现成信息需要另行制作</w:t>
            </w:r>
          </w:p>
        </w:tc>
        <w:tc>
          <w:tcPr>
            <w:tcW w:w="40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３.补正后申请内容仍不明确</w:t>
            </w:r>
          </w:p>
        </w:tc>
        <w:tc>
          <w:tcPr>
            <w:tcW w:w="40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3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１.信访举报投诉类申请</w:t>
            </w:r>
          </w:p>
        </w:tc>
        <w:tc>
          <w:tcPr>
            <w:tcW w:w="40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２.重复申请</w:t>
            </w:r>
          </w:p>
        </w:tc>
        <w:tc>
          <w:tcPr>
            <w:tcW w:w="40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３.要求提供公开出版物</w:t>
            </w:r>
          </w:p>
        </w:tc>
        <w:tc>
          <w:tcPr>
            <w:tcW w:w="40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４.无正当理由大量反复申请</w:t>
            </w:r>
          </w:p>
        </w:tc>
        <w:tc>
          <w:tcPr>
            <w:tcW w:w="40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５.要求行政机关确认或重新出具已获取信息</w:t>
            </w:r>
          </w:p>
        </w:tc>
        <w:tc>
          <w:tcPr>
            <w:tcW w:w="40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</w:t>
            </w:r>
          </w:p>
        </w:tc>
        <w:tc>
          <w:tcPr>
            <w:tcW w:w="3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１.申请人无正当理由逾期不补正、行政机关不再处理其政府信息公开申请</w:t>
            </w:r>
          </w:p>
        </w:tc>
        <w:tc>
          <w:tcPr>
            <w:tcW w:w="40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２.申请人逾期未按收费通知要求缴纳费用、行政机关不再处理其政府信息公开申请</w:t>
            </w:r>
          </w:p>
        </w:tc>
        <w:tc>
          <w:tcPr>
            <w:tcW w:w="40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３.其他</w:t>
            </w:r>
          </w:p>
        </w:tc>
        <w:tc>
          <w:tcPr>
            <w:tcW w:w="40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84" w:type="dxa"/>
            <w:gridSpan w:val="2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（七)总计</w:t>
            </w:r>
          </w:p>
        </w:tc>
        <w:tc>
          <w:tcPr>
            <w:tcW w:w="40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4951" w:type="dxa"/>
            <w:gridSpan w:val="3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40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ind w:firstLine="640" w:firstLineChars="200"/>
        <w:rPr>
          <w:sz w:val="32"/>
          <w:szCs w:val="32"/>
        </w:rPr>
      </w:pPr>
      <w:r>
        <w:rPr>
          <w:rFonts w:ascii="FZHei-B01" w:hAnsi="FZHei-B01" w:eastAsia="FZHei-B01" w:cs="FZHei-B01"/>
          <w:color w:val="000000"/>
          <w:sz w:val="32"/>
          <w:szCs w:val="32"/>
        </w:rPr>
        <w:t>四</w:t>
      </w:r>
      <w:r>
        <w:rPr>
          <w:rFonts w:ascii="DY22 + ZKbFbV-22 + 12" w:hAnsi="DY22 + ZKbFbV-22 + 12" w:eastAsia="DY22 + ZKbFbV-22 + 12" w:cs="DY22 + ZKbFbV-22 + 12"/>
          <w:color w:val="000000"/>
          <w:sz w:val="32"/>
          <w:szCs w:val="32"/>
        </w:rPr>
        <w:t>、</w:t>
      </w:r>
      <w:r>
        <w:rPr>
          <w:rFonts w:hint="eastAsia" w:ascii="FZHei-B01" w:hAnsi="FZHei-B01" w:eastAsia="FZHei-B01" w:cs="FZHei-B01"/>
          <w:color w:val="000000"/>
          <w:sz w:val="32"/>
          <w:szCs w:val="32"/>
        </w:rPr>
        <w:t>政府信息公开行政复议</w:t>
      </w:r>
      <w:r>
        <w:rPr>
          <w:rFonts w:hint="default" w:ascii="DY22 + ZKbFbV-22 + 12" w:hAnsi="DY22 + ZKbFbV-22 + 12" w:eastAsia="DY22 + ZKbFbV-22 + 12" w:cs="DY22 + ZKbFbV-22 + 12"/>
          <w:color w:val="000000"/>
          <w:sz w:val="32"/>
          <w:szCs w:val="32"/>
        </w:rPr>
        <w:t>、</w:t>
      </w:r>
      <w:r>
        <w:rPr>
          <w:rFonts w:hint="eastAsia" w:ascii="FZHei-B01" w:hAnsi="FZHei-B01" w:eastAsia="FZHei-B01" w:cs="FZHei-B01"/>
          <w:color w:val="000000"/>
          <w:sz w:val="32"/>
          <w:szCs w:val="32"/>
        </w:rPr>
        <w:t>行政诉讼情况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行政复议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5682" w:type="dxa"/>
            <w:gridSpan w:val="10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行政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诉讼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结果维持</w:t>
            </w:r>
          </w:p>
        </w:tc>
        <w:tc>
          <w:tcPr>
            <w:tcW w:w="568" w:type="dxa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结果纠正</w:t>
            </w:r>
          </w:p>
        </w:tc>
        <w:tc>
          <w:tcPr>
            <w:tcW w:w="568" w:type="dxa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其他结果</w:t>
            </w:r>
          </w:p>
        </w:tc>
        <w:tc>
          <w:tcPr>
            <w:tcW w:w="568" w:type="dxa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尚未审结</w:t>
            </w:r>
          </w:p>
        </w:tc>
        <w:tc>
          <w:tcPr>
            <w:tcW w:w="568" w:type="dxa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总计</w:t>
            </w:r>
          </w:p>
        </w:tc>
        <w:tc>
          <w:tcPr>
            <w:tcW w:w="2840" w:type="dxa"/>
            <w:gridSpan w:val="5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未经复议直接起诉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复议后起诉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568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568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568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568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结果维持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结果纠正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其他结果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尚未审结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总计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结果维持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结果纠正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其他结果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尚未审结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56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pacing w:beforeAutospacing="0" w:afterAutospacing="0" w:line="560" w:lineRule="exact"/>
        <w:ind w:firstLine="642" w:firstLineChars="200"/>
        <w:jc w:val="both"/>
        <w:rPr>
          <w:rFonts w:ascii="微软雅黑" w:hAnsi="微软雅黑" w:eastAsia="微软雅黑" w:cs="微软雅黑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after="0" w:line="560" w:lineRule="exact"/>
        <w:ind w:firstLine="539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我局政府信息公开制度化、规范化、法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制化建设还存在不足，到目前止，我局尚未建立有自己的网站，政府信息公开网络建设仍以在市政府网站上公开为主；全局政府信息公开工作还缺乏有效的激励机制等，都有待于今后加以改进。我局将继续加大对政府信息公开工作的指导、推进、协调、监督力度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after="0" w:line="560" w:lineRule="exact"/>
        <w:ind w:firstLine="539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 xml:space="preserve">年，我局将采取以下措施积极改进和加强政府信息公开工作。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/>
        <w:bidi w:val="0"/>
        <w:spacing w:after="0"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楷体" w:eastAsia="仿宋_GB2312" w:cs="楷体"/>
          <w:sz w:val="32"/>
          <w:szCs w:val="32"/>
        </w:rPr>
        <w:t>（一）强化学习，提高工作水平。</w:t>
      </w:r>
      <w:r>
        <w:rPr>
          <w:rFonts w:hint="eastAsia" w:ascii="仿宋_GB2312" w:eastAsia="仿宋_GB2312" w:cs="仿宋_GB2312"/>
          <w:sz w:val="32"/>
          <w:szCs w:val="32"/>
        </w:rPr>
        <w:t xml:space="preserve">进一步加强《中华人民共和国政府信息公开条例》的学习，不断增强工作的积极性、主动性和自觉性，提高政务公开信息的质量。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/>
        <w:bidi w:val="0"/>
        <w:spacing w:after="0"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楷体" w:eastAsia="仿宋_GB2312" w:cs="楷体"/>
          <w:sz w:val="32"/>
          <w:szCs w:val="32"/>
        </w:rPr>
        <w:t>（二）创新形式，提高实效性。</w:t>
      </w:r>
      <w:r>
        <w:rPr>
          <w:rFonts w:hint="eastAsia" w:ascii="仿宋_GB2312" w:eastAsia="仿宋_GB2312" w:cs="仿宋_GB2312"/>
          <w:sz w:val="32"/>
          <w:szCs w:val="32"/>
        </w:rPr>
        <w:t>狠抓工作落实，不断丰富政府信息公开内容，完善和创新公开形式，通过多种渠道为广大群众提供及时、有效的信息资料，扩大公开内容，不断提升政府信息公开的及时性和实效性。</w:t>
      </w:r>
    </w:p>
    <w:p>
      <w:pPr>
        <w:pStyle w:val="4"/>
        <w:keepNext w:val="0"/>
        <w:keepLines w:val="0"/>
        <w:pageBreakBefore w:val="0"/>
        <w:widowControl/>
        <w:kinsoku/>
        <w:wordWrap/>
        <w:topLinePunct w:val="0"/>
        <w:autoSpaceDN/>
        <w:bidi w:val="0"/>
        <w:spacing w:beforeAutospacing="0" w:after="0" w:afterAutospacing="0" w:line="560" w:lineRule="exact"/>
        <w:jc w:val="both"/>
        <w:textAlignment w:val="auto"/>
        <w:rPr>
          <w:rFonts w:ascii="微软雅黑" w:hAnsi="微软雅黑" w:eastAsia="微软雅黑" w:cs="微软雅黑"/>
          <w:sz w:val="27"/>
          <w:szCs w:val="27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楷体" w:eastAsia="仿宋_GB2312" w:cs="楷体"/>
          <w:sz w:val="32"/>
          <w:szCs w:val="32"/>
        </w:rPr>
        <w:t>（三）完善制度，落实管理措施。</w:t>
      </w:r>
      <w:r>
        <w:rPr>
          <w:rFonts w:hint="eastAsia" w:ascii="仿宋_GB2312" w:eastAsia="仿宋_GB2312" w:cs="仿宋_GB2312"/>
          <w:sz w:val="32"/>
          <w:szCs w:val="32"/>
        </w:rPr>
        <w:t>进一步健全政府信息公开机制，强化领导和责任，落实专人负责政务公开工作，推进政务公开工作落到实处。</w:t>
      </w:r>
    </w:p>
    <w:p>
      <w:pPr>
        <w:pStyle w:val="4"/>
        <w:widowControl/>
        <w:spacing w:beforeAutospacing="0" w:afterAutospacing="0" w:line="560" w:lineRule="exact"/>
        <w:ind w:firstLine="525"/>
        <w:jc w:val="both"/>
        <w:rPr>
          <w:rStyle w:val="8"/>
          <w:rFonts w:ascii="微软雅黑" w:hAnsi="微软雅黑" w:eastAsia="微软雅黑" w:cs="微软雅黑"/>
          <w:sz w:val="32"/>
          <w:szCs w:val="32"/>
        </w:rPr>
      </w:pPr>
      <w:r>
        <w:rPr>
          <w:rStyle w:val="8"/>
          <w:rFonts w:hint="eastAsia" w:ascii="微软雅黑" w:hAnsi="微软雅黑" w:eastAsia="微软雅黑" w:cs="微软雅黑"/>
          <w:sz w:val="32"/>
          <w:szCs w:val="32"/>
        </w:rPr>
        <w:t>六、其他需要报告的事项</w:t>
      </w:r>
    </w:p>
    <w:p>
      <w:pPr>
        <w:overflowPunct w:val="0"/>
        <w:autoSpaceDE w:val="0"/>
        <w:spacing w:line="560" w:lineRule="exact"/>
        <w:ind w:firstLine="560" w:firstLineChars="200"/>
        <w:rPr>
          <w:rFonts w:hint="eastAsia" w:asci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eastAsia="仿宋_GB2312" w:cs="仿宋_GB2312"/>
          <w:spacing w:val="-20"/>
          <w:sz w:val="32"/>
          <w:szCs w:val="32"/>
        </w:rPr>
        <w:t>无。</w:t>
      </w:r>
    </w:p>
    <w:p>
      <w:pPr>
        <w:overflowPunct w:val="0"/>
        <w:autoSpaceDE w:val="0"/>
        <w:spacing w:line="560" w:lineRule="exact"/>
        <w:ind w:firstLine="560" w:firstLineChars="200"/>
        <w:rPr>
          <w:rFonts w:hint="eastAsia" w:ascii="仿宋_GB2312" w:eastAsia="仿宋_GB2312" w:cs="仿宋_GB2312"/>
          <w:spacing w:val="-20"/>
          <w:sz w:val="32"/>
          <w:szCs w:val="32"/>
        </w:rPr>
      </w:pPr>
    </w:p>
    <w:p>
      <w:pPr>
        <w:overflowPunct w:val="0"/>
        <w:autoSpaceDE w:val="0"/>
        <w:spacing w:line="560" w:lineRule="exact"/>
        <w:ind w:firstLine="560" w:firstLineChars="200"/>
        <w:rPr>
          <w:rFonts w:hint="eastAsia" w:ascii="仿宋_GB2312" w:eastAsia="仿宋_GB2312" w:cs="仿宋_GB2312"/>
          <w:spacing w:val="-20"/>
          <w:sz w:val="32"/>
          <w:szCs w:val="32"/>
        </w:rPr>
      </w:pPr>
    </w:p>
    <w:sectPr>
      <w:footerReference r:id="rId5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Hei-B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Y16 + ZKbFbU-16 + g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ShuSong-Z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Y15 + ZKbFbU-15 + f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9 + ZKbFbV-19 + j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2 + ZKbFbV-22 + 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5121" o:spid="_x0000_s5121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characterSpacingControl w:val="doNotCompress"/>
  <w:hdrShapeDefaults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11E2E"/>
    <w:rsid w:val="000D76F7"/>
    <w:rsid w:val="001944EF"/>
    <w:rsid w:val="001E59E9"/>
    <w:rsid w:val="00212D6E"/>
    <w:rsid w:val="0024377E"/>
    <w:rsid w:val="00323B43"/>
    <w:rsid w:val="003268EA"/>
    <w:rsid w:val="003319C7"/>
    <w:rsid w:val="003D37D8"/>
    <w:rsid w:val="00426133"/>
    <w:rsid w:val="004358AB"/>
    <w:rsid w:val="00551CF8"/>
    <w:rsid w:val="00603CAA"/>
    <w:rsid w:val="00883125"/>
    <w:rsid w:val="00892A74"/>
    <w:rsid w:val="008A3420"/>
    <w:rsid w:val="008B7726"/>
    <w:rsid w:val="00964CA5"/>
    <w:rsid w:val="00B4558F"/>
    <w:rsid w:val="00B70A38"/>
    <w:rsid w:val="00C57561"/>
    <w:rsid w:val="00C61AAE"/>
    <w:rsid w:val="00CD72B6"/>
    <w:rsid w:val="00CE1F21"/>
    <w:rsid w:val="00D31D50"/>
    <w:rsid w:val="00EB64A3"/>
    <w:rsid w:val="00EE62AC"/>
    <w:rsid w:val="00F51329"/>
    <w:rsid w:val="00F52618"/>
    <w:rsid w:val="163FA9A8"/>
    <w:rsid w:val="27CFE596"/>
    <w:rsid w:val="2EBDD673"/>
    <w:rsid w:val="38BDE704"/>
    <w:rsid w:val="3EE93483"/>
    <w:rsid w:val="4BF7793C"/>
    <w:rsid w:val="57F7CB5D"/>
    <w:rsid w:val="5DDF4E57"/>
    <w:rsid w:val="5DFF8AE4"/>
    <w:rsid w:val="5F7FA0E2"/>
    <w:rsid w:val="5FFF57D8"/>
    <w:rsid w:val="67BF22D7"/>
    <w:rsid w:val="6BED868F"/>
    <w:rsid w:val="6EBFAB89"/>
    <w:rsid w:val="6FD296F1"/>
    <w:rsid w:val="797EFC62"/>
    <w:rsid w:val="7BA65488"/>
    <w:rsid w:val="7EED8075"/>
    <w:rsid w:val="7F5C2A26"/>
    <w:rsid w:val="7F5E6AE5"/>
    <w:rsid w:val="7FB73CBF"/>
    <w:rsid w:val="7FFDBC76"/>
    <w:rsid w:val="9AFAA518"/>
    <w:rsid w:val="9ED539FD"/>
    <w:rsid w:val="AEFF897C"/>
    <w:rsid w:val="B7FF7E20"/>
    <w:rsid w:val="BE3BB0EB"/>
    <w:rsid w:val="CCD6FA76"/>
    <w:rsid w:val="D57D8BA3"/>
    <w:rsid w:val="D7FF55F7"/>
    <w:rsid w:val="D9971439"/>
    <w:rsid w:val="DFEFD1D0"/>
    <w:rsid w:val="ED2B3139"/>
    <w:rsid w:val="EF6F3CFB"/>
    <w:rsid w:val="F3D74996"/>
    <w:rsid w:val="F77F5A7F"/>
    <w:rsid w:val="F7B6FDEF"/>
    <w:rsid w:val="F7DD2041"/>
    <w:rsid w:val="FA5B8C60"/>
    <w:rsid w:val="FB9E067A"/>
    <w:rsid w:val="FCBD2BA9"/>
    <w:rsid w:val="FD36F0F5"/>
    <w:rsid w:val="FDB7A89F"/>
    <w:rsid w:val="FE3B1708"/>
    <w:rsid w:val="FEEF88D0"/>
    <w:rsid w:val="FFD9A5A2"/>
    <w:rsid w:val="FFFBE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24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widowControl w:val="0"/>
      <w:adjustRightInd/>
      <w:snapToGrid/>
      <w:spacing w:beforeAutospacing="1" w:after="0" w:afterAutospacing="1"/>
    </w:pPr>
    <w:rPr>
      <w:rFonts w:cs="Times New Roman" w:asciiTheme="minorHAnsi" w:hAnsiTheme="minorHAnsi" w:eastAsiaTheme="minorEastAsia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脚 Char"/>
    <w:basedOn w:val="7"/>
    <w:link w:val="2"/>
    <w:qFormat/>
    <w:uiPriority w:val="0"/>
    <w:rPr>
      <w:rFonts w:eastAsiaTheme="minorEastAsia"/>
      <w:kern w:val="2"/>
      <w:sz w:val="18"/>
      <w:szCs w:val="24"/>
    </w:rPr>
  </w:style>
  <w:style w:type="paragraph" w:customStyle="1" w:styleId="10">
    <w:name w:val="p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1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512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361</Words>
  <Characters>2064</Characters>
  <Lines>17</Lines>
  <Paragraphs>4</Paragraphs>
  <TotalTime>32</TotalTime>
  <ScaleCrop>false</ScaleCrop>
  <LinksUpToDate>false</LinksUpToDate>
  <CharactersWithSpaces>2421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2008-09-13T01:20:00Z</dcterms:created>
  <dc:creator>Administrator</dc:creator>
  <cp:lastModifiedBy>sfj</cp:lastModifiedBy>
  <cp:lastPrinted>2023-02-09T23:11:00Z</cp:lastPrinted>
  <dcterms:modified xsi:type="dcterms:W3CDTF">2023-02-09T15:50:36Z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